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5F" w:rsidRDefault="00D82332" w:rsidP="007268F7">
      <w:pPr>
        <w:jc w:val="center"/>
        <w:rPr>
          <w:rFonts w:ascii="Arial" w:hAnsi="Arial" w:cs="Arial"/>
          <w:b/>
          <w:sz w:val="24"/>
          <w:szCs w:val="24"/>
        </w:rPr>
      </w:pPr>
      <w:r>
        <w:rPr>
          <w:rFonts w:ascii="Arial" w:hAnsi="Arial" w:cs="Arial"/>
          <w:b/>
          <w:sz w:val="24"/>
          <w:szCs w:val="24"/>
        </w:rPr>
        <w:t>The M</w:t>
      </w:r>
      <w:r w:rsidR="002D04C8">
        <w:rPr>
          <w:rFonts w:ascii="Arial" w:hAnsi="Arial" w:cs="Arial"/>
          <w:b/>
          <w:sz w:val="24"/>
          <w:szCs w:val="24"/>
        </w:rPr>
        <w:t>arket</w:t>
      </w:r>
      <w:r w:rsidR="00877F21">
        <w:rPr>
          <w:rFonts w:ascii="Arial" w:hAnsi="Arial" w:cs="Arial"/>
          <w:b/>
          <w:sz w:val="24"/>
          <w:szCs w:val="24"/>
        </w:rPr>
        <w:t>s</w:t>
      </w:r>
      <w:r w:rsidR="002D04C8">
        <w:rPr>
          <w:rFonts w:ascii="Arial" w:hAnsi="Arial" w:cs="Arial"/>
          <w:b/>
          <w:sz w:val="24"/>
          <w:szCs w:val="24"/>
        </w:rPr>
        <w:t xml:space="preserve"> </w:t>
      </w:r>
      <w:r>
        <w:rPr>
          <w:rFonts w:ascii="Arial" w:hAnsi="Arial" w:cs="Arial"/>
          <w:b/>
          <w:sz w:val="24"/>
          <w:szCs w:val="24"/>
        </w:rPr>
        <w:t>R</w:t>
      </w:r>
      <w:r w:rsidR="00877F21">
        <w:rPr>
          <w:rFonts w:ascii="Arial" w:hAnsi="Arial" w:cs="Arial"/>
          <w:b/>
          <w:sz w:val="24"/>
          <w:szCs w:val="24"/>
        </w:rPr>
        <w:t>ebound</w:t>
      </w:r>
      <w:r w:rsidR="002D04C8">
        <w:rPr>
          <w:rFonts w:ascii="Arial" w:hAnsi="Arial" w:cs="Arial"/>
          <w:b/>
          <w:sz w:val="24"/>
          <w:szCs w:val="24"/>
        </w:rPr>
        <w:t xml:space="preserve"> as </w:t>
      </w:r>
      <w:r>
        <w:rPr>
          <w:rFonts w:ascii="Arial" w:hAnsi="Arial" w:cs="Arial"/>
          <w:b/>
          <w:sz w:val="24"/>
          <w:szCs w:val="24"/>
        </w:rPr>
        <w:t>T</w:t>
      </w:r>
      <w:r w:rsidR="002D04C8">
        <w:rPr>
          <w:rFonts w:ascii="Arial" w:hAnsi="Arial" w:cs="Arial"/>
          <w:b/>
          <w:sz w:val="24"/>
          <w:szCs w:val="24"/>
        </w:rPr>
        <w:t xml:space="preserve">rade </w:t>
      </w:r>
      <w:r>
        <w:rPr>
          <w:rFonts w:ascii="Arial" w:hAnsi="Arial" w:cs="Arial"/>
          <w:b/>
          <w:sz w:val="24"/>
          <w:szCs w:val="24"/>
        </w:rPr>
        <w:t>T</w:t>
      </w:r>
      <w:r w:rsidR="002D04C8">
        <w:rPr>
          <w:rFonts w:ascii="Arial" w:hAnsi="Arial" w:cs="Arial"/>
          <w:b/>
          <w:sz w:val="24"/>
          <w:szCs w:val="24"/>
        </w:rPr>
        <w:t xml:space="preserve">ensions </w:t>
      </w:r>
      <w:r>
        <w:rPr>
          <w:rFonts w:ascii="Arial" w:hAnsi="Arial" w:cs="Arial"/>
          <w:b/>
          <w:sz w:val="24"/>
          <w:szCs w:val="24"/>
        </w:rPr>
        <w:t>C</w:t>
      </w:r>
      <w:r w:rsidR="002D04C8">
        <w:rPr>
          <w:rFonts w:ascii="Arial" w:hAnsi="Arial" w:cs="Arial"/>
          <w:b/>
          <w:sz w:val="24"/>
          <w:szCs w:val="24"/>
        </w:rPr>
        <w:t>ool</w:t>
      </w:r>
    </w:p>
    <w:p w:rsidR="00D82332" w:rsidRDefault="00D82332" w:rsidP="00921E65">
      <w:pPr>
        <w:rPr>
          <w:rFonts w:ascii="Arial" w:hAnsi="Arial" w:cs="Arial"/>
          <w:sz w:val="24"/>
          <w:szCs w:val="24"/>
        </w:rPr>
      </w:pPr>
    </w:p>
    <w:p w:rsidR="003C7237" w:rsidRDefault="005D50B0" w:rsidP="00921E65">
      <w:pPr>
        <w:rPr>
          <w:rFonts w:ascii="Arial" w:hAnsi="Arial" w:cs="Arial"/>
          <w:color w:val="000000"/>
          <w:sz w:val="24"/>
          <w:szCs w:val="24"/>
        </w:rPr>
      </w:pPr>
      <w:r>
        <w:rPr>
          <w:rFonts w:ascii="Arial" w:hAnsi="Arial" w:cs="Arial"/>
          <w:color w:val="000000"/>
          <w:sz w:val="24"/>
          <w:szCs w:val="24"/>
        </w:rPr>
        <w:t xml:space="preserve">The markets have a lot to contend with as we close out the third quarter and the month of September. </w:t>
      </w:r>
      <w:r w:rsidR="003C7237" w:rsidRPr="003C7237">
        <w:rPr>
          <w:rFonts w:ascii="Arial" w:hAnsi="Arial" w:cs="Arial"/>
          <w:color w:val="000000"/>
          <w:sz w:val="24"/>
          <w:szCs w:val="24"/>
        </w:rPr>
        <w:t>Financial fundamentals are taking a back seat to political considerations and trending sentiment partly because the data has been mixed</w:t>
      </w:r>
      <w:r w:rsidR="008E357B">
        <w:rPr>
          <w:rFonts w:ascii="Arial" w:hAnsi="Arial" w:cs="Arial"/>
          <w:color w:val="000000"/>
          <w:sz w:val="24"/>
          <w:szCs w:val="24"/>
        </w:rPr>
        <w:t xml:space="preserve">, reports Raymond James’ Doug Drabik, </w:t>
      </w:r>
      <w:r w:rsidR="008E357B" w:rsidRPr="00DA3627">
        <w:rPr>
          <w:rFonts w:ascii="Arial" w:hAnsi="Arial" w:cs="Arial"/>
          <w:color w:val="000000"/>
          <w:sz w:val="24"/>
          <w:szCs w:val="24"/>
        </w:rPr>
        <w:t>managing dire</w:t>
      </w:r>
      <w:r w:rsidR="008E357B">
        <w:rPr>
          <w:rFonts w:ascii="Arial" w:hAnsi="Arial" w:cs="Arial"/>
          <w:color w:val="000000"/>
          <w:sz w:val="24"/>
          <w:szCs w:val="24"/>
        </w:rPr>
        <w:t>ctor for fixed income research</w:t>
      </w:r>
      <w:r w:rsidR="003C7237" w:rsidRPr="003C7237">
        <w:rPr>
          <w:rFonts w:ascii="Arial" w:hAnsi="Arial" w:cs="Arial"/>
          <w:color w:val="000000"/>
          <w:sz w:val="24"/>
          <w:szCs w:val="24"/>
        </w:rPr>
        <w:t xml:space="preserve">. </w:t>
      </w:r>
      <w:r w:rsidR="00E35329">
        <w:rPr>
          <w:rFonts w:ascii="Arial" w:hAnsi="Arial" w:cs="Arial"/>
          <w:sz w:val="24"/>
          <w:szCs w:val="24"/>
        </w:rPr>
        <w:t xml:space="preserve">Raymond James Chief Economist Scott Brown </w:t>
      </w:r>
      <w:r w:rsidR="00E35329">
        <w:rPr>
          <w:rFonts w:ascii="Arial" w:hAnsi="Arial" w:cs="Arial"/>
          <w:color w:val="000000"/>
          <w:sz w:val="24"/>
          <w:szCs w:val="24"/>
        </w:rPr>
        <w:t>says j</w:t>
      </w:r>
      <w:r w:rsidR="007F1824">
        <w:rPr>
          <w:rFonts w:ascii="Arial" w:hAnsi="Arial" w:cs="Arial"/>
          <w:color w:val="000000"/>
          <w:sz w:val="24"/>
          <w:szCs w:val="24"/>
        </w:rPr>
        <w:t>ob gains and wage growth should support consumer spending growth into 2020, more than offsetting a slow patch in business investment, while the Federal Reserve</w:t>
      </w:r>
      <w:r w:rsidR="003F7F82">
        <w:rPr>
          <w:rFonts w:ascii="Arial" w:hAnsi="Arial" w:cs="Arial"/>
          <w:color w:val="000000"/>
          <w:sz w:val="24"/>
          <w:szCs w:val="24"/>
        </w:rPr>
        <w:t xml:space="preserve"> (Fed)</w:t>
      </w:r>
      <w:r w:rsidR="007F1824">
        <w:rPr>
          <w:rFonts w:ascii="Arial" w:hAnsi="Arial" w:cs="Arial"/>
          <w:color w:val="000000"/>
          <w:sz w:val="24"/>
          <w:szCs w:val="24"/>
        </w:rPr>
        <w:t xml:space="preserve"> has again lowered short-term interest rates to </w:t>
      </w:r>
      <w:r w:rsidR="0024087D">
        <w:rPr>
          <w:rFonts w:ascii="Arial" w:hAnsi="Arial" w:cs="Arial"/>
          <w:color w:val="000000"/>
          <w:sz w:val="24"/>
          <w:szCs w:val="24"/>
        </w:rPr>
        <w:t>e</w:t>
      </w:r>
      <w:r w:rsidR="007F1824">
        <w:rPr>
          <w:rFonts w:ascii="Arial" w:hAnsi="Arial" w:cs="Arial"/>
          <w:color w:val="000000"/>
          <w:sz w:val="24"/>
          <w:szCs w:val="24"/>
        </w:rPr>
        <w:t>nsure against downside risks.</w:t>
      </w:r>
    </w:p>
    <w:p w:rsidR="00921E65" w:rsidRPr="00921E65" w:rsidRDefault="003C7237" w:rsidP="00921E65">
      <w:pPr>
        <w:rPr>
          <w:rFonts w:ascii="Arial" w:hAnsi="Arial" w:cs="Arial"/>
          <w:color w:val="000000"/>
          <w:sz w:val="24"/>
          <w:szCs w:val="24"/>
        </w:rPr>
      </w:pPr>
      <w:r w:rsidRPr="003C7237">
        <w:rPr>
          <w:rFonts w:ascii="Arial" w:hAnsi="Arial" w:cs="Arial"/>
          <w:color w:val="000000"/>
          <w:sz w:val="24"/>
          <w:szCs w:val="24"/>
        </w:rPr>
        <w:t xml:space="preserve">Adding to the mix are impeachment inquiries, unsettled </w:t>
      </w:r>
      <w:proofErr w:type="spellStart"/>
      <w:r w:rsidRPr="003C7237">
        <w:rPr>
          <w:rFonts w:ascii="Arial" w:hAnsi="Arial" w:cs="Arial"/>
          <w:color w:val="000000"/>
          <w:sz w:val="24"/>
          <w:szCs w:val="24"/>
        </w:rPr>
        <w:t>Brexit</w:t>
      </w:r>
      <w:proofErr w:type="spellEnd"/>
      <w:r w:rsidRPr="003C7237">
        <w:rPr>
          <w:rFonts w:ascii="Arial" w:hAnsi="Arial" w:cs="Arial"/>
          <w:color w:val="000000"/>
          <w:sz w:val="24"/>
          <w:szCs w:val="24"/>
        </w:rPr>
        <w:t>, growt</w:t>
      </w:r>
      <w:r>
        <w:rPr>
          <w:rFonts w:ascii="Arial" w:hAnsi="Arial" w:cs="Arial"/>
          <w:color w:val="000000"/>
          <w:sz w:val="24"/>
          <w:szCs w:val="24"/>
        </w:rPr>
        <w:t xml:space="preserve">h concerns in Germany and China, </w:t>
      </w:r>
      <w:r w:rsidR="007F1824">
        <w:rPr>
          <w:rFonts w:ascii="Arial" w:hAnsi="Arial" w:cs="Arial"/>
          <w:color w:val="000000"/>
          <w:sz w:val="24"/>
          <w:szCs w:val="24"/>
        </w:rPr>
        <w:t>and</w:t>
      </w:r>
      <w:r w:rsidR="008E357B">
        <w:rPr>
          <w:rFonts w:ascii="Arial" w:hAnsi="Arial" w:cs="Arial"/>
          <w:color w:val="000000"/>
          <w:sz w:val="24"/>
          <w:szCs w:val="24"/>
        </w:rPr>
        <w:t xml:space="preserve"> </w:t>
      </w:r>
      <w:r w:rsidRPr="003C7237">
        <w:rPr>
          <w:rFonts w:ascii="Arial" w:hAnsi="Arial" w:cs="Arial"/>
          <w:color w:val="000000"/>
          <w:sz w:val="24"/>
          <w:szCs w:val="24"/>
        </w:rPr>
        <w:t xml:space="preserve">pending U.S. elections. </w:t>
      </w:r>
      <w:r w:rsidR="005D50B0">
        <w:rPr>
          <w:rFonts w:ascii="Arial" w:hAnsi="Arial" w:cs="Arial"/>
          <w:color w:val="000000"/>
          <w:sz w:val="24"/>
          <w:szCs w:val="24"/>
        </w:rPr>
        <w:t xml:space="preserve">Trade negotiations between </w:t>
      </w:r>
      <w:r w:rsidR="007F1824">
        <w:rPr>
          <w:rFonts w:ascii="Arial" w:hAnsi="Arial" w:cs="Arial"/>
          <w:color w:val="000000"/>
          <w:sz w:val="24"/>
          <w:szCs w:val="24"/>
        </w:rPr>
        <w:t xml:space="preserve">the </w:t>
      </w:r>
      <w:r w:rsidR="00921E65" w:rsidRPr="00921E65">
        <w:rPr>
          <w:rFonts w:ascii="Arial" w:hAnsi="Arial" w:cs="Arial"/>
          <w:color w:val="000000"/>
          <w:sz w:val="24"/>
          <w:szCs w:val="24"/>
        </w:rPr>
        <w:t>U</w:t>
      </w:r>
      <w:r w:rsidR="007859BF">
        <w:rPr>
          <w:rFonts w:ascii="Arial" w:hAnsi="Arial" w:cs="Arial"/>
          <w:color w:val="000000"/>
          <w:sz w:val="24"/>
          <w:szCs w:val="24"/>
        </w:rPr>
        <w:t>.</w:t>
      </w:r>
      <w:r w:rsidR="00921E65" w:rsidRPr="00921E65">
        <w:rPr>
          <w:rFonts w:ascii="Arial" w:hAnsi="Arial" w:cs="Arial"/>
          <w:color w:val="000000"/>
          <w:sz w:val="24"/>
          <w:szCs w:val="24"/>
        </w:rPr>
        <w:t>S</w:t>
      </w:r>
      <w:r w:rsidR="007859BF">
        <w:rPr>
          <w:rFonts w:ascii="Arial" w:hAnsi="Arial" w:cs="Arial"/>
          <w:color w:val="000000"/>
          <w:sz w:val="24"/>
          <w:szCs w:val="24"/>
        </w:rPr>
        <w:t>.</w:t>
      </w:r>
      <w:r w:rsidR="00921E65" w:rsidRPr="00921E65">
        <w:rPr>
          <w:rFonts w:ascii="Arial" w:hAnsi="Arial" w:cs="Arial"/>
          <w:color w:val="000000"/>
          <w:sz w:val="24"/>
          <w:szCs w:val="24"/>
        </w:rPr>
        <w:t xml:space="preserve"> and China </w:t>
      </w:r>
      <w:r w:rsidR="00050F6D">
        <w:rPr>
          <w:rFonts w:ascii="Arial" w:hAnsi="Arial" w:cs="Arial"/>
          <w:color w:val="000000"/>
          <w:sz w:val="24"/>
          <w:szCs w:val="24"/>
        </w:rPr>
        <w:t xml:space="preserve">remain uncertain, though officials are set to meet </w:t>
      </w:r>
      <w:r>
        <w:rPr>
          <w:rFonts w:ascii="Arial" w:hAnsi="Arial" w:cs="Arial"/>
          <w:color w:val="000000"/>
          <w:sz w:val="24"/>
          <w:szCs w:val="24"/>
        </w:rPr>
        <w:t xml:space="preserve">in both October and November, </w:t>
      </w:r>
      <w:r w:rsidR="002C4AAB" w:rsidRPr="006B1F0D">
        <w:rPr>
          <w:rFonts w:ascii="Arial" w:hAnsi="Arial" w:cs="Arial"/>
          <w:color w:val="000000"/>
          <w:sz w:val="24"/>
          <w:szCs w:val="24"/>
        </w:rPr>
        <w:t>increasing optimism for a mini-deal</w:t>
      </w:r>
      <w:r w:rsidR="00921E65" w:rsidRPr="00921E65">
        <w:rPr>
          <w:rFonts w:ascii="Arial" w:hAnsi="Arial" w:cs="Arial"/>
          <w:color w:val="000000"/>
          <w:sz w:val="24"/>
          <w:szCs w:val="24"/>
        </w:rPr>
        <w:t>.</w:t>
      </w:r>
      <w:r w:rsidR="007859BF">
        <w:rPr>
          <w:rFonts w:ascii="Arial" w:hAnsi="Arial" w:cs="Arial"/>
          <w:color w:val="000000"/>
          <w:sz w:val="24"/>
          <w:szCs w:val="24"/>
        </w:rPr>
        <w:t xml:space="preserve"> However, </w:t>
      </w:r>
      <w:r w:rsidR="00921E65" w:rsidRPr="00921E65">
        <w:rPr>
          <w:rFonts w:ascii="Arial" w:hAnsi="Arial" w:cs="Arial"/>
          <w:color w:val="000000"/>
          <w:sz w:val="24"/>
          <w:szCs w:val="24"/>
        </w:rPr>
        <w:t xml:space="preserve">Washington Policy Analyst Ed Mills expects </w:t>
      </w:r>
      <w:r w:rsidR="00921E65">
        <w:rPr>
          <w:rFonts w:ascii="Arial" w:hAnsi="Arial" w:cs="Arial"/>
          <w:color w:val="000000"/>
          <w:sz w:val="24"/>
          <w:szCs w:val="24"/>
        </w:rPr>
        <w:t xml:space="preserve">fluctuating sentiments between the two countries to </w:t>
      </w:r>
      <w:r w:rsidR="002D04C8">
        <w:rPr>
          <w:rFonts w:ascii="Arial" w:hAnsi="Arial" w:cs="Arial"/>
          <w:color w:val="000000"/>
          <w:sz w:val="24"/>
          <w:szCs w:val="24"/>
        </w:rPr>
        <w:t xml:space="preserve">fuel market volatility through the 2020 election. </w:t>
      </w:r>
    </w:p>
    <w:p w:rsidR="00F4172C" w:rsidRPr="00632C83" w:rsidRDefault="00050F6D" w:rsidP="002D04C8">
      <w:pPr>
        <w:rPr>
          <w:rFonts w:ascii="Arial" w:hAnsi="Arial" w:cs="Arial"/>
          <w:color w:val="000000"/>
          <w:sz w:val="24"/>
          <w:szCs w:val="24"/>
        </w:rPr>
      </w:pPr>
      <w:r>
        <w:rPr>
          <w:rFonts w:ascii="Arial" w:hAnsi="Arial" w:cs="Arial"/>
          <w:color w:val="000000"/>
          <w:sz w:val="24"/>
          <w:szCs w:val="24"/>
        </w:rPr>
        <w:t>On the other hand</w:t>
      </w:r>
      <w:r w:rsidR="007859BF" w:rsidRPr="00632C83">
        <w:rPr>
          <w:rFonts w:ascii="Arial" w:hAnsi="Arial" w:cs="Arial"/>
          <w:color w:val="000000"/>
          <w:sz w:val="24"/>
          <w:szCs w:val="24"/>
        </w:rPr>
        <w:t xml:space="preserve">, </w:t>
      </w:r>
      <w:r w:rsidR="002D04C8" w:rsidRPr="00632C83">
        <w:rPr>
          <w:rFonts w:ascii="Arial" w:hAnsi="Arial" w:cs="Arial"/>
          <w:color w:val="000000"/>
          <w:sz w:val="24"/>
          <w:szCs w:val="24"/>
        </w:rPr>
        <w:t xml:space="preserve">Chief Investment Officer Larry Adam credits </w:t>
      </w:r>
      <w:r w:rsidR="002F7231">
        <w:rPr>
          <w:rFonts w:ascii="Arial" w:hAnsi="Arial" w:cs="Arial"/>
          <w:color w:val="000000"/>
          <w:sz w:val="24"/>
          <w:szCs w:val="24"/>
        </w:rPr>
        <w:t>cooling</w:t>
      </w:r>
      <w:r w:rsidRPr="00632C83">
        <w:rPr>
          <w:rFonts w:ascii="Arial" w:hAnsi="Arial" w:cs="Arial"/>
          <w:color w:val="000000"/>
          <w:sz w:val="24"/>
          <w:szCs w:val="24"/>
        </w:rPr>
        <w:t xml:space="preserve"> </w:t>
      </w:r>
      <w:r w:rsidR="002D04C8" w:rsidRPr="00632C83">
        <w:rPr>
          <w:rFonts w:ascii="Arial" w:hAnsi="Arial" w:cs="Arial"/>
          <w:color w:val="000000"/>
          <w:sz w:val="24"/>
          <w:szCs w:val="24"/>
        </w:rPr>
        <w:t>trade tensions between the U</w:t>
      </w:r>
      <w:r w:rsidR="003C1733">
        <w:rPr>
          <w:rFonts w:ascii="Arial" w:hAnsi="Arial" w:cs="Arial"/>
          <w:color w:val="000000"/>
          <w:sz w:val="24"/>
          <w:szCs w:val="24"/>
        </w:rPr>
        <w:t>.</w:t>
      </w:r>
      <w:r w:rsidR="002D04C8" w:rsidRPr="00632C83">
        <w:rPr>
          <w:rFonts w:ascii="Arial" w:hAnsi="Arial" w:cs="Arial"/>
          <w:color w:val="000000"/>
          <w:sz w:val="24"/>
          <w:szCs w:val="24"/>
        </w:rPr>
        <w:t>S</w:t>
      </w:r>
      <w:r w:rsidR="003C1733">
        <w:rPr>
          <w:rFonts w:ascii="Arial" w:hAnsi="Arial" w:cs="Arial"/>
          <w:color w:val="000000"/>
          <w:sz w:val="24"/>
          <w:szCs w:val="24"/>
        </w:rPr>
        <w:t>.</w:t>
      </w:r>
      <w:r w:rsidR="002D04C8" w:rsidRPr="00632C83">
        <w:rPr>
          <w:rFonts w:ascii="Arial" w:hAnsi="Arial" w:cs="Arial"/>
          <w:color w:val="000000"/>
          <w:sz w:val="24"/>
          <w:szCs w:val="24"/>
        </w:rPr>
        <w:t xml:space="preserve"> and China, an additional </w:t>
      </w:r>
      <w:r w:rsidR="007F1824">
        <w:rPr>
          <w:rFonts w:ascii="Arial" w:hAnsi="Arial" w:cs="Arial"/>
          <w:color w:val="000000"/>
          <w:sz w:val="24"/>
          <w:szCs w:val="24"/>
        </w:rPr>
        <w:t>Fed</w:t>
      </w:r>
      <w:r w:rsidR="002D04C8" w:rsidRPr="00632C83">
        <w:rPr>
          <w:rFonts w:ascii="Arial" w:hAnsi="Arial" w:cs="Arial"/>
          <w:color w:val="000000"/>
          <w:sz w:val="24"/>
          <w:szCs w:val="24"/>
        </w:rPr>
        <w:t xml:space="preserve"> rate cut </w:t>
      </w:r>
      <w:r w:rsidR="007859BF" w:rsidRPr="00632C83">
        <w:rPr>
          <w:rFonts w:ascii="Arial" w:hAnsi="Arial" w:cs="Arial"/>
          <w:color w:val="000000"/>
          <w:sz w:val="24"/>
          <w:szCs w:val="24"/>
        </w:rPr>
        <w:t xml:space="preserve">of 25 </w:t>
      </w:r>
      <w:r w:rsidR="003C1733">
        <w:rPr>
          <w:rFonts w:ascii="Arial" w:hAnsi="Arial" w:cs="Arial"/>
          <w:color w:val="000000"/>
          <w:sz w:val="24"/>
          <w:szCs w:val="24"/>
        </w:rPr>
        <w:t>basis points (</w:t>
      </w:r>
      <w:r w:rsidR="007859BF" w:rsidRPr="00632C83">
        <w:rPr>
          <w:rFonts w:ascii="Arial" w:hAnsi="Arial" w:cs="Arial"/>
          <w:color w:val="000000"/>
          <w:sz w:val="24"/>
          <w:szCs w:val="24"/>
        </w:rPr>
        <w:t>bps</w:t>
      </w:r>
      <w:r w:rsidR="003C1733">
        <w:rPr>
          <w:rFonts w:ascii="Arial" w:hAnsi="Arial" w:cs="Arial"/>
          <w:color w:val="000000"/>
          <w:sz w:val="24"/>
          <w:szCs w:val="24"/>
        </w:rPr>
        <w:t>)</w:t>
      </w:r>
      <w:r w:rsidR="007859BF" w:rsidRPr="00632C83">
        <w:rPr>
          <w:rFonts w:ascii="Arial" w:hAnsi="Arial" w:cs="Arial"/>
          <w:color w:val="000000"/>
          <w:sz w:val="24"/>
          <w:szCs w:val="24"/>
        </w:rPr>
        <w:t xml:space="preserve"> </w:t>
      </w:r>
      <w:r w:rsidR="002D04C8" w:rsidRPr="00632C83">
        <w:rPr>
          <w:rFonts w:ascii="Arial" w:hAnsi="Arial" w:cs="Arial"/>
          <w:color w:val="000000"/>
          <w:sz w:val="24"/>
          <w:szCs w:val="24"/>
        </w:rPr>
        <w:t xml:space="preserve">and solid domestic U.S. economic data for a rebound in </w:t>
      </w:r>
      <w:r w:rsidR="002F7231" w:rsidRPr="00632C83">
        <w:rPr>
          <w:rFonts w:ascii="Arial" w:hAnsi="Arial" w:cs="Arial"/>
          <w:color w:val="000000"/>
          <w:sz w:val="24"/>
          <w:szCs w:val="24"/>
        </w:rPr>
        <w:t>risk</w:t>
      </w:r>
      <w:r w:rsidR="002F7231">
        <w:rPr>
          <w:rFonts w:ascii="Arial" w:hAnsi="Arial" w:cs="Arial"/>
          <w:color w:val="000000"/>
          <w:sz w:val="24"/>
          <w:szCs w:val="24"/>
        </w:rPr>
        <w:t>-</w:t>
      </w:r>
      <w:r w:rsidR="002D04C8" w:rsidRPr="00632C83">
        <w:rPr>
          <w:rFonts w:ascii="Arial" w:hAnsi="Arial" w:cs="Arial"/>
          <w:color w:val="000000"/>
          <w:sz w:val="24"/>
          <w:szCs w:val="24"/>
        </w:rPr>
        <w:t>asset performance this month, which led the S&amp;P 500 to rise to within 1% of all-time highs. The</w:t>
      </w:r>
      <w:r w:rsidR="00F4172C" w:rsidRPr="00632C83">
        <w:rPr>
          <w:rFonts w:ascii="Arial" w:hAnsi="Arial" w:cs="Arial"/>
          <w:color w:val="000000"/>
          <w:sz w:val="24"/>
          <w:szCs w:val="24"/>
        </w:rPr>
        <w:t xml:space="preserve"> U</w:t>
      </w:r>
      <w:r w:rsidR="002D04C8" w:rsidRPr="00632C83">
        <w:rPr>
          <w:rFonts w:ascii="Arial" w:hAnsi="Arial" w:cs="Arial"/>
          <w:color w:val="000000"/>
          <w:sz w:val="24"/>
          <w:szCs w:val="24"/>
        </w:rPr>
        <w:t>.</w:t>
      </w:r>
      <w:r w:rsidR="00F4172C" w:rsidRPr="00632C83">
        <w:rPr>
          <w:rFonts w:ascii="Arial" w:hAnsi="Arial" w:cs="Arial"/>
          <w:color w:val="000000"/>
          <w:sz w:val="24"/>
          <w:szCs w:val="24"/>
        </w:rPr>
        <w:t>S</w:t>
      </w:r>
      <w:r w:rsidR="002D04C8" w:rsidRPr="00632C83">
        <w:rPr>
          <w:rFonts w:ascii="Arial" w:hAnsi="Arial" w:cs="Arial"/>
          <w:color w:val="000000"/>
          <w:sz w:val="24"/>
          <w:szCs w:val="24"/>
        </w:rPr>
        <w:t>.</w:t>
      </w:r>
      <w:r w:rsidR="00F4172C" w:rsidRPr="00632C83">
        <w:rPr>
          <w:rFonts w:ascii="Arial" w:hAnsi="Arial" w:cs="Arial"/>
          <w:color w:val="000000"/>
          <w:sz w:val="24"/>
          <w:szCs w:val="24"/>
        </w:rPr>
        <w:t xml:space="preserve"> dollar </w:t>
      </w:r>
      <w:r w:rsidR="002D04C8" w:rsidRPr="00632C83">
        <w:rPr>
          <w:rFonts w:ascii="Arial" w:hAnsi="Arial" w:cs="Arial"/>
          <w:color w:val="000000"/>
          <w:sz w:val="24"/>
          <w:szCs w:val="24"/>
        </w:rPr>
        <w:t xml:space="preserve">also </w:t>
      </w:r>
      <w:r w:rsidR="00F4172C" w:rsidRPr="00632C83">
        <w:rPr>
          <w:rFonts w:ascii="Arial" w:hAnsi="Arial" w:cs="Arial"/>
          <w:color w:val="000000"/>
          <w:sz w:val="24"/>
          <w:szCs w:val="24"/>
        </w:rPr>
        <w:t xml:space="preserve">rose to </w:t>
      </w:r>
      <w:r w:rsidR="002D04C8" w:rsidRPr="00632C83">
        <w:rPr>
          <w:rFonts w:ascii="Arial" w:hAnsi="Arial" w:cs="Arial"/>
          <w:color w:val="000000"/>
          <w:sz w:val="24"/>
          <w:szCs w:val="24"/>
        </w:rPr>
        <w:t>its highest level since May 2017</w:t>
      </w:r>
      <w:r w:rsidR="0024087D">
        <w:rPr>
          <w:rFonts w:ascii="Arial" w:hAnsi="Arial" w:cs="Arial"/>
          <w:color w:val="000000"/>
          <w:sz w:val="24"/>
          <w:szCs w:val="24"/>
        </w:rPr>
        <w:t>,</w:t>
      </w:r>
      <w:r w:rsidR="002D04C8" w:rsidRPr="00632C83">
        <w:rPr>
          <w:rFonts w:ascii="Arial" w:hAnsi="Arial" w:cs="Arial"/>
          <w:color w:val="000000"/>
          <w:sz w:val="24"/>
          <w:szCs w:val="24"/>
        </w:rPr>
        <w:t xml:space="preserve"> and t</w:t>
      </w:r>
      <w:r w:rsidR="00F4172C" w:rsidRPr="00632C83">
        <w:rPr>
          <w:rFonts w:ascii="Arial" w:hAnsi="Arial" w:cs="Arial"/>
          <w:color w:val="000000"/>
          <w:sz w:val="24"/>
          <w:szCs w:val="24"/>
        </w:rPr>
        <w:t xml:space="preserve">he </w:t>
      </w:r>
      <w:r w:rsidR="002D04C8" w:rsidRPr="00632C83">
        <w:rPr>
          <w:rFonts w:ascii="Arial" w:hAnsi="Arial" w:cs="Arial"/>
          <w:color w:val="000000"/>
          <w:sz w:val="24"/>
          <w:szCs w:val="24"/>
        </w:rPr>
        <w:t xml:space="preserve">10-year Treasury yield bounced approximately </w:t>
      </w:r>
      <w:r w:rsidR="00F4172C" w:rsidRPr="00632C83">
        <w:rPr>
          <w:rFonts w:ascii="Arial" w:hAnsi="Arial" w:cs="Arial"/>
          <w:color w:val="000000"/>
          <w:sz w:val="24"/>
          <w:szCs w:val="24"/>
        </w:rPr>
        <w:t xml:space="preserve">25 bps after it hit its year-to-date lows and lowest level (1.46%) since July 2016 on September 3. </w:t>
      </w:r>
    </w:p>
    <w:p w:rsidR="004D3383" w:rsidRDefault="004D3383" w:rsidP="004D3383">
      <w:pPr>
        <w:spacing w:after="120"/>
        <w:rPr>
          <w:rFonts w:ascii="Arial" w:hAnsi="Arial" w:cs="Arial"/>
          <w:color w:val="000000"/>
          <w:sz w:val="24"/>
          <w:szCs w:val="24"/>
        </w:rPr>
      </w:pPr>
      <w:r>
        <w:rPr>
          <w:rFonts w:ascii="Arial" w:hAnsi="Arial" w:cs="Arial"/>
          <w:color w:val="000000"/>
          <w:sz w:val="24"/>
          <w:szCs w:val="24"/>
        </w:rPr>
        <w:t xml:space="preserve">In September, the Fed had to address a liquidity crunch in the repo market, which briefly spiked money market rates. In response, it may bring forward the start of a mini quantitative easing, according to Fed Chair Jerome Powell. </w:t>
      </w:r>
    </w:p>
    <w:p w:rsidR="007E690E" w:rsidRPr="00B410EE" w:rsidRDefault="007E690E" w:rsidP="007E690E">
      <w:pPr>
        <w:rPr>
          <w:rFonts w:ascii="Arial" w:hAnsi="Arial" w:cs="Arial"/>
          <w:sz w:val="24"/>
          <w:szCs w:val="24"/>
        </w:rPr>
      </w:pPr>
      <w:r w:rsidRPr="001D1F0C">
        <w:rPr>
          <w:rFonts w:ascii="Arial" w:hAnsi="Arial" w:cs="Arial"/>
          <w:sz w:val="24"/>
          <w:szCs w:val="24"/>
        </w:rPr>
        <w:t xml:space="preserve">The </w:t>
      </w:r>
      <w:r w:rsidR="00FB5F12" w:rsidRPr="001D1F0C">
        <w:rPr>
          <w:rFonts w:ascii="Arial" w:hAnsi="Arial" w:cs="Arial"/>
          <w:sz w:val="24"/>
          <w:szCs w:val="24"/>
        </w:rPr>
        <w:t xml:space="preserve">month </w:t>
      </w:r>
      <w:r w:rsidRPr="001D1F0C">
        <w:rPr>
          <w:rFonts w:ascii="Arial" w:hAnsi="Arial" w:cs="Arial"/>
          <w:sz w:val="24"/>
          <w:szCs w:val="24"/>
        </w:rPr>
        <w:t xml:space="preserve">ended </w:t>
      </w:r>
      <w:r w:rsidR="00632C83" w:rsidRPr="001D1F0C">
        <w:rPr>
          <w:rFonts w:ascii="Arial" w:hAnsi="Arial" w:cs="Arial"/>
          <w:sz w:val="24"/>
          <w:szCs w:val="24"/>
        </w:rPr>
        <w:t>positively</w:t>
      </w:r>
      <w:r w:rsidRPr="001D1F0C">
        <w:rPr>
          <w:rFonts w:ascii="Arial" w:hAnsi="Arial" w:cs="Arial"/>
          <w:sz w:val="24"/>
          <w:szCs w:val="24"/>
        </w:rPr>
        <w:t xml:space="preserve"> for the</w:t>
      </w:r>
      <w:r w:rsidR="00632C83" w:rsidRPr="001D1F0C">
        <w:rPr>
          <w:rFonts w:ascii="Arial" w:hAnsi="Arial" w:cs="Arial"/>
          <w:sz w:val="24"/>
          <w:szCs w:val="24"/>
        </w:rPr>
        <w:t xml:space="preserve"> S&amp;P 500 (</w:t>
      </w:r>
      <w:r w:rsidR="001D1F0C" w:rsidRPr="001D1F0C">
        <w:rPr>
          <w:rFonts w:ascii="Arial" w:hAnsi="Arial" w:cs="Arial"/>
          <w:sz w:val="24"/>
          <w:szCs w:val="24"/>
        </w:rPr>
        <w:t>1.72</w:t>
      </w:r>
      <w:r w:rsidR="00632C83" w:rsidRPr="001D1F0C">
        <w:rPr>
          <w:rFonts w:ascii="Arial" w:hAnsi="Arial" w:cs="Arial"/>
          <w:sz w:val="24"/>
          <w:szCs w:val="24"/>
        </w:rPr>
        <w:t>%),</w:t>
      </w:r>
      <w:r w:rsidRPr="001D1F0C">
        <w:rPr>
          <w:rFonts w:ascii="Arial" w:hAnsi="Arial" w:cs="Arial"/>
          <w:sz w:val="24"/>
          <w:szCs w:val="24"/>
        </w:rPr>
        <w:t xml:space="preserve"> Dow Jones Industrial Average </w:t>
      </w:r>
      <w:r w:rsidR="001D1F0C" w:rsidRPr="001D1F0C">
        <w:rPr>
          <w:rFonts w:ascii="Arial" w:hAnsi="Arial" w:cs="Arial"/>
          <w:sz w:val="24"/>
          <w:szCs w:val="24"/>
        </w:rPr>
        <w:t>(1.95</w:t>
      </w:r>
      <w:r w:rsidR="00632C83" w:rsidRPr="001D1F0C">
        <w:rPr>
          <w:rFonts w:ascii="Arial" w:hAnsi="Arial" w:cs="Arial"/>
          <w:sz w:val="24"/>
          <w:szCs w:val="24"/>
        </w:rPr>
        <w:t>%), NASDAQ (</w:t>
      </w:r>
      <w:r w:rsidR="001D1F0C" w:rsidRPr="001D1F0C">
        <w:rPr>
          <w:rFonts w:ascii="Arial" w:hAnsi="Arial" w:cs="Arial"/>
          <w:sz w:val="24"/>
          <w:szCs w:val="24"/>
        </w:rPr>
        <w:t>0.46</w:t>
      </w:r>
      <w:r w:rsidRPr="001D1F0C">
        <w:rPr>
          <w:rFonts w:ascii="Arial" w:hAnsi="Arial" w:cs="Arial"/>
          <w:sz w:val="24"/>
          <w:szCs w:val="24"/>
        </w:rPr>
        <w:t>%) a</w:t>
      </w:r>
      <w:r w:rsidR="00632C83" w:rsidRPr="001D1F0C">
        <w:rPr>
          <w:rFonts w:ascii="Arial" w:hAnsi="Arial" w:cs="Arial"/>
          <w:sz w:val="24"/>
          <w:szCs w:val="24"/>
        </w:rPr>
        <w:t>nd the Russell 2000 Index (</w:t>
      </w:r>
      <w:r w:rsidR="001D1F0C" w:rsidRPr="001D1F0C">
        <w:rPr>
          <w:rFonts w:ascii="Arial" w:hAnsi="Arial" w:cs="Arial"/>
          <w:sz w:val="24"/>
          <w:szCs w:val="24"/>
        </w:rPr>
        <w:t>1.91</w:t>
      </w:r>
      <w:r w:rsidRPr="001D1F0C">
        <w:rPr>
          <w:rFonts w:ascii="Arial" w:hAnsi="Arial" w:cs="Arial"/>
          <w:sz w:val="24"/>
          <w:szCs w:val="24"/>
        </w:rPr>
        <w:t>%).</w:t>
      </w:r>
      <w:r w:rsidR="00DA3627" w:rsidRPr="001D1F0C">
        <w:rPr>
          <w:rStyle w:val="CommentReference"/>
        </w:rPr>
        <w:t xml:space="preserve"> </w:t>
      </w:r>
      <w:r w:rsidR="00FB5F12" w:rsidRPr="001D1F0C">
        <w:rPr>
          <w:rFonts w:ascii="Arial" w:hAnsi="Arial" w:cs="Arial"/>
          <w:sz w:val="24"/>
          <w:szCs w:val="24"/>
        </w:rPr>
        <w:t>The quarter also ended positively for the S&amp;P 500 (</w:t>
      </w:r>
      <w:r w:rsidR="001D1F0C" w:rsidRPr="001D1F0C">
        <w:rPr>
          <w:rFonts w:ascii="Arial" w:hAnsi="Arial" w:cs="Arial"/>
          <w:sz w:val="24"/>
          <w:szCs w:val="24"/>
        </w:rPr>
        <w:t>1.19%) and the</w:t>
      </w:r>
      <w:r w:rsidR="00FB5F12" w:rsidRPr="001D1F0C">
        <w:rPr>
          <w:rFonts w:ascii="Arial" w:hAnsi="Arial" w:cs="Arial"/>
          <w:sz w:val="24"/>
          <w:szCs w:val="24"/>
        </w:rPr>
        <w:t xml:space="preserve"> Dow Jones Industrial Average (</w:t>
      </w:r>
      <w:r w:rsidR="001D1F0C" w:rsidRPr="001D1F0C">
        <w:rPr>
          <w:rFonts w:ascii="Arial" w:hAnsi="Arial" w:cs="Arial"/>
          <w:sz w:val="24"/>
          <w:szCs w:val="24"/>
        </w:rPr>
        <w:t>1.19</w:t>
      </w:r>
      <w:r w:rsidR="00FB5F12" w:rsidRPr="001D1F0C">
        <w:rPr>
          <w:rFonts w:ascii="Arial" w:hAnsi="Arial" w:cs="Arial"/>
          <w:sz w:val="24"/>
          <w:szCs w:val="24"/>
        </w:rPr>
        <w:t>%),</w:t>
      </w:r>
      <w:r w:rsidR="001D1F0C" w:rsidRPr="001D1F0C">
        <w:rPr>
          <w:rFonts w:ascii="Arial" w:hAnsi="Arial" w:cs="Arial"/>
          <w:sz w:val="24"/>
          <w:szCs w:val="24"/>
        </w:rPr>
        <w:t xml:space="preserve"> but negatively for the</w:t>
      </w:r>
      <w:r w:rsidR="00FB5F12" w:rsidRPr="001D1F0C">
        <w:rPr>
          <w:rFonts w:ascii="Arial" w:hAnsi="Arial" w:cs="Arial"/>
          <w:sz w:val="24"/>
          <w:szCs w:val="24"/>
        </w:rPr>
        <w:t xml:space="preserve"> NASDAQ (</w:t>
      </w:r>
      <w:r w:rsidR="001D1F0C" w:rsidRPr="001D1F0C">
        <w:rPr>
          <w:rFonts w:ascii="Arial" w:hAnsi="Arial" w:cs="Arial"/>
          <w:sz w:val="24"/>
          <w:szCs w:val="24"/>
        </w:rPr>
        <w:t>-0.09</w:t>
      </w:r>
      <w:r w:rsidR="00FB5F12" w:rsidRPr="001D1F0C">
        <w:rPr>
          <w:rFonts w:ascii="Arial" w:hAnsi="Arial" w:cs="Arial"/>
          <w:sz w:val="24"/>
          <w:szCs w:val="24"/>
        </w:rPr>
        <w:t>%) and Russell 2000 Index (</w:t>
      </w:r>
      <w:r w:rsidR="001D1F0C" w:rsidRPr="001D1F0C">
        <w:rPr>
          <w:rFonts w:ascii="Arial" w:hAnsi="Arial" w:cs="Arial"/>
          <w:sz w:val="24"/>
          <w:szCs w:val="24"/>
        </w:rPr>
        <w:t>-2.76</w:t>
      </w:r>
      <w:r w:rsidR="00FB5F12" w:rsidRPr="001D1F0C">
        <w:rPr>
          <w:rFonts w:ascii="Arial" w:hAnsi="Arial" w:cs="Arial"/>
          <w:sz w:val="24"/>
          <w:szCs w:val="24"/>
        </w:rPr>
        <w:t>%).</w:t>
      </w:r>
    </w:p>
    <w:tbl>
      <w:tblPr>
        <w:tblpPr w:leftFromText="180" w:rightFromText="180" w:bottomFromText="200" w:vertAnchor="text" w:horzAnchor="margin" w:tblpY="35"/>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7"/>
        <w:gridCol w:w="2448"/>
        <w:gridCol w:w="1845"/>
        <w:gridCol w:w="1845"/>
        <w:gridCol w:w="1845"/>
        <w:gridCol w:w="1845"/>
      </w:tblGrid>
      <w:tr w:rsidR="006A600E" w:rsidRPr="00035E82" w:rsidTr="0032075B">
        <w:trPr>
          <w:trHeight w:val="552"/>
        </w:trPr>
        <w:tc>
          <w:tcPr>
            <w:tcW w:w="2455" w:type="dxa"/>
            <w:gridSpan w:val="2"/>
            <w:vAlign w:val="center"/>
          </w:tcPr>
          <w:p w:rsidR="006A600E" w:rsidRPr="00670F5F" w:rsidRDefault="006A600E" w:rsidP="0032075B">
            <w:pPr>
              <w:jc w:val="center"/>
              <w:rPr>
                <w:rFonts w:ascii="Arial" w:hAnsi="Arial" w:cs="Arial"/>
                <w:sz w:val="24"/>
                <w:szCs w:val="24"/>
                <w:highlight w:val="yellow"/>
              </w:rPr>
            </w:pPr>
          </w:p>
        </w:tc>
        <w:tc>
          <w:tcPr>
            <w:tcW w:w="1845" w:type="dxa"/>
            <w:vAlign w:val="center"/>
          </w:tcPr>
          <w:p w:rsidR="006A600E" w:rsidRPr="00B87D96" w:rsidRDefault="006A600E" w:rsidP="0032075B">
            <w:pPr>
              <w:spacing w:after="100" w:afterAutospacing="1"/>
              <w:jc w:val="center"/>
              <w:rPr>
                <w:rFonts w:ascii="Arial" w:hAnsi="Arial" w:cs="Arial"/>
                <w:sz w:val="24"/>
                <w:szCs w:val="24"/>
              </w:rPr>
            </w:pPr>
            <w:r w:rsidRPr="00B87D96">
              <w:rPr>
                <w:rFonts w:ascii="Arial" w:hAnsi="Arial" w:cs="Arial"/>
                <w:sz w:val="24"/>
                <w:szCs w:val="24"/>
              </w:rPr>
              <w:t>12/31/18 Close</w:t>
            </w:r>
          </w:p>
        </w:tc>
        <w:tc>
          <w:tcPr>
            <w:tcW w:w="1845" w:type="dxa"/>
            <w:vAlign w:val="center"/>
          </w:tcPr>
          <w:p w:rsidR="006A600E" w:rsidRPr="00B87D96" w:rsidRDefault="00EA7E50" w:rsidP="0032075B">
            <w:pPr>
              <w:spacing w:after="100" w:afterAutospacing="1"/>
              <w:jc w:val="center"/>
              <w:rPr>
                <w:rFonts w:ascii="Arial" w:hAnsi="Arial" w:cs="Arial"/>
                <w:sz w:val="24"/>
                <w:szCs w:val="24"/>
              </w:rPr>
            </w:pPr>
            <w:r>
              <w:rPr>
                <w:rFonts w:ascii="Arial" w:hAnsi="Arial" w:cs="Arial"/>
                <w:sz w:val="24"/>
                <w:szCs w:val="24"/>
              </w:rPr>
              <w:t>9</w:t>
            </w:r>
            <w:r w:rsidR="006A600E" w:rsidRPr="00B87D96">
              <w:rPr>
                <w:rFonts w:ascii="Arial" w:hAnsi="Arial" w:cs="Arial"/>
                <w:sz w:val="24"/>
                <w:szCs w:val="24"/>
              </w:rPr>
              <w:t>/30/19 Close</w:t>
            </w:r>
          </w:p>
        </w:tc>
        <w:tc>
          <w:tcPr>
            <w:tcW w:w="1845" w:type="dxa"/>
            <w:vAlign w:val="center"/>
            <w:hideMark/>
          </w:tcPr>
          <w:p w:rsidR="006A600E" w:rsidRPr="00B87D96" w:rsidRDefault="006A600E" w:rsidP="0032075B">
            <w:pPr>
              <w:spacing w:after="100" w:afterAutospacing="1"/>
              <w:jc w:val="center"/>
              <w:rPr>
                <w:rFonts w:ascii="Arial" w:hAnsi="Arial" w:cs="Arial"/>
                <w:sz w:val="24"/>
                <w:szCs w:val="24"/>
              </w:rPr>
            </w:pPr>
            <w:r w:rsidRPr="00B87D96">
              <w:rPr>
                <w:rFonts w:ascii="Arial" w:hAnsi="Arial" w:cs="Arial"/>
                <w:sz w:val="24"/>
                <w:szCs w:val="24"/>
              </w:rPr>
              <w:t>Change</w:t>
            </w:r>
            <w:r w:rsidRPr="00B87D96">
              <w:rPr>
                <w:rFonts w:ascii="Arial" w:hAnsi="Arial" w:cs="Arial"/>
                <w:sz w:val="24"/>
                <w:szCs w:val="24"/>
              </w:rPr>
              <w:br/>
              <w:t>Year to Date</w:t>
            </w:r>
          </w:p>
        </w:tc>
        <w:tc>
          <w:tcPr>
            <w:tcW w:w="1845" w:type="dxa"/>
            <w:vAlign w:val="center"/>
            <w:hideMark/>
          </w:tcPr>
          <w:p w:rsidR="006A600E" w:rsidRPr="00B87D96" w:rsidRDefault="006A600E" w:rsidP="0032075B">
            <w:pPr>
              <w:spacing w:after="100" w:afterAutospacing="1"/>
              <w:jc w:val="center"/>
              <w:rPr>
                <w:rFonts w:ascii="Arial" w:hAnsi="Arial" w:cs="Arial"/>
                <w:sz w:val="24"/>
                <w:szCs w:val="24"/>
              </w:rPr>
            </w:pPr>
            <w:r w:rsidRPr="00B87D96">
              <w:rPr>
                <w:rFonts w:ascii="Arial" w:hAnsi="Arial" w:cs="Arial"/>
                <w:sz w:val="24"/>
                <w:szCs w:val="24"/>
              </w:rPr>
              <w:t>% Gain/Loss Year to Date</w:t>
            </w:r>
          </w:p>
        </w:tc>
      </w:tr>
      <w:tr w:rsidR="006A600E" w:rsidRPr="00035E82" w:rsidTr="0032075B">
        <w:trPr>
          <w:trHeight w:val="552"/>
        </w:trPr>
        <w:tc>
          <w:tcPr>
            <w:tcW w:w="2455" w:type="dxa"/>
            <w:gridSpan w:val="2"/>
            <w:vAlign w:val="center"/>
            <w:hideMark/>
          </w:tcPr>
          <w:p w:rsidR="006A600E" w:rsidRPr="006F3D96" w:rsidRDefault="006A600E" w:rsidP="0032075B">
            <w:pPr>
              <w:spacing w:after="0"/>
              <w:jc w:val="right"/>
              <w:rPr>
                <w:rFonts w:ascii="Arial" w:hAnsi="Arial" w:cs="Arial"/>
                <w:sz w:val="24"/>
                <w:szCs w:val="24"/>
              </w:rPr>
            </w:pPr>
            <w:r w:rsidRPr="006F3D96">
              <w:rPr>
                <w:rFonts w:ascii="Arial" w:hAnsi="Arial" w:cs="Arial"/>
                <w:sz w:val="24"/>
                <w:szCs w:val="24"/>
              </w:rPr>
              <w:t>DJIA</w:t>
            </w:r>
          </w:p>
        </w:tc>
        <w:tc>
          <w:tcPr>
            <w:tcW w:w="1845" w:type="dxa"/>
            <w:vAlign w:val="center"/>
          </w:tcPr>
          <w:p w:rsidR="006A600E" w:rsidRPr="006F3D96" w:rsidRDefault="006A600E" w:rsidP="0032075B">
            <w:pPr>
              <w:spacing w:before="100" w:beforeAutospacing="1" w:after="100" w:afterAutospacing="1"/>
              <w:jc w:val="center"/>
              <w:rPr>
                <w:rFonts w:ascii="Arial" w:hAnsi="Arial" w:cs="Arial"/>
                <w:sz w:val="24"/>
                <w:szCs w:val="24"/>
              </w:rPr>
            </w:pPr>
            <w:r w:rsidRPr="006F3D96">
              <w:rPr>
                <w:rFonts w:ascii="Arial" w:hAnsi="Arial" w:cs="Arial"/>
                <w:sz w:val="24"/>
                <w:szCs w:val="24"/>
              </w:rPr>
              <w:t>23,327.46</w:t>
            </w:r>
          </w:p>
        </w:tc>
        <w:tc>
          <w:tcPr>
            <w:tcW w:w="1845" w:type="dxa"/>
            <w:vAlign w:val="center"/>
          </w:tcPr>
          <w:p w:rsidR="006A600E" w:rsidRPr="00EA7E50" w:rsidRDefault="009426EA" w:rsidP="0032075B">
            <w:pPr>
              <w:spacing w:before="100" w:beforeAutospacing="1" w:after="100" w:afterAutospacing="1"/>
              <w:jc w:val="center"/>
              <w:rPr>
                <w:rFonts w:ascii="Arial" w:hAnsi="Arial" w:cs="Arial"/>
                <w:sz w:val="24"/>
                <w:szCs w:val="24"/>
                <w:highlight w:val="yellow"/>
              </w:rPr>
            </w:pPr>
            <w:r w:rsidRPr="009426EA">
              <w:rPr>
                <w:rFonts w:ascii="Arial" w:hAnsi="Arial" w:cs="Arial"/>
                <w:sz w:val="24"/>
                <w:szCs w:val="24"/>
              </w:rPr>
              <w:t>26,916.83</w:t>
            </w:r>
          </w:p>
        </w:tc>
        <w:tc>
          <w:tcPr>
            <w:tcW w:w="1845" w:type="dxa"/>
            <w:vAlign w:val="center"/>
          </w:tcPr>
          <w:p w:rsidR="006A600E" w:rsidRPr="00EA7E50" w:rsidRDefault="006A600E" w:rsidP="009426EA">
            <w:pPr>
              <w:spacing w:before="100" w:beforeAutospacing="1" w:after="100" w:afterAutospacing="1"/>
              <w:jc w:val="center"/>
              <w:rPr>
                <w:rFonts w:ascii="Arial" w:hAnsi="Arial" w:cs="Arial"/>
                <w:color w:val="00B050"/>
                <w:sz w:val="24"/>
                <w:szCs w:val="24"/>
                <w:highlight w:val="yellow"/>
              </w:rPr>
            </w:pPr>
            <w:r w:rsidRPr="009426EA">
              <w:rPr>
                <w:rFonts w:ascii="Arial" w:hAnsi="Arial" w:cs="Arial"/>
                <w:color w:val="00B050"/>
                <w:sz w:val="24"/>
                <w:szCs w:val="24"/>
              </w:rPr>
              <w:t>+</w:t>
            </w:r>
            <w:r w:rsidR="009426EA" w:rsidRPr="009426EA">
              <w:rPr>
                <w:rFonts w:ascii="Arial" w:hAnsi="Arial" w:cs="Arial"/>
                <w:color w:val="00B050"/>
                <w:sz w:val="24"/>
                <w:szCs w:val="24"/>
              </w:rPr>
              <w:t>3,589.37</w:t>
            </w:r>
          </w:p>
        </w:tc>
        <w:tc>
          <w:tcPr>
            <w:tcW w:w="1845" w:type="dxa"/>
            <w:vAlign w:val="center"/>
          </w:tcPr>
          <w:p w:rsidR="006A600E" w:rsidRPr="00EA7E50" w:rsidRDefault="006A600E" w:rsidP="009426EA">
            <w:pPr>
              <w:spacing w:before="100" w:beforeAutospacing="1" w:after="100" w:afterAutospacing="1"/>
              <w:jc w:val="center"/>
              <w:rPr>
                <w:rFonts w:ascii="Arial" w:hAnsi="Arial" w:cs="Arial"/>
                <w:color w:val="00B050"/>
                <w:sz w:val="24"/>
                <w:szCs w:val="24"/>
                <w:highlight w:val="yellow"/>
              </w:rPr>
            </w:pPr>
            <w:r w:rsidRPr="009426EA">
              <w:rPr>
                <w:rFonts w:ascii="Arial" w:hAnsi="Arial" w:cs="Arial"/>
                <w:color w:val="00B050"/>
                <w:sz w:val="24"/>
                <w:szCs w:val="24"/>
              </w:rPr>
              <w:t>+</w:t>
            </w:r>
            <w:r w:rsidR="009426EA" w:rsidRPr="009426EA">
              <w:rPr>
                <w:rFonts w:ascii="Arial" w:hAnsi="Arial" w:cs="Arial"/>
                <w:color w:val="00B050"/>
                <w:sz w:val="24"/>
                <w:szCs w:val="24"/>
              </w:rPr>
              <w:t>15.39</w:t>
            </w:r>
            <w:r w:rsidRPr="009426EA">
              <w:rPr>
                <w:rFonts w:ascii="Arial" w:hAnsi="Arial" w:cs="Arial"/>
                <w:color w:val="00B050"/>
                <w:sz w:val="24"/>
                <w:szCs w:val="24"/>
              </w:rPr>
              <w:t>%</w:t>
            </w:r>
          </w:p>
        </w:tc>
      </w:tr>
      <w:tr w:rsidR="006A600E" w:rsidRPr="00035E82" w:rsidTr="0032075B">
        <w:trPr>
          <w:trHeight w:val="552"/>
        </w:trPr>
        <w:tc>
          <w:tcPr>
            <w:tcW w:w="2455" w:type="dxa"/>
            <w:gridSpan w:val="2"/>
            <w:vAlign w:val="center"/>
            <w:hideMark/>
          </w:tcPr>
          <w:p w:rsidR="006A600E" w:rsidRPr="006F3D96" w:rsidRDefault="006A600E" w:rsidP="0032075B">
            <w:pPr>
              <w:spacing w:after="0"/>
              <w:jc w:val="right"/>
              <w:rPr>
                <w:rFonts w:ascii="Arial" w:hAnsi="Arial" w:cs="Arial"/>
                <w:sz w:val="24"/>
                <w:szCs w:val="24"/>
              </w:rPr>
            </w:pPr>
            <w:r w:rsidRPr="006F3D96">
              <w:rPr>
                <w:rFonts w:ascii="Arial" w:hAnsi="Arial" w:cs="Arial"/>
                <w:sz w:val="24"/>
                <w:szCs w:val="24"/>
              </w:rPr>
              <w:t>NASDAQ</w:t>
            </w:r>
          </w:p>
        </w:tc>
        <w:tc>
          <w:tcPr>
            <w:tcW w:w="1845" w:type="dxa"/>
            <w:vAlign w:val="center"/>
          </w:tcPr>
          <w:p w:rsidR="006A600E" w:rsidRPr="006F3D96" w:rsidRDefault="006A600E" w:rsidP="0032075B">
            <w:pPr>
              <w:spacing w:before="100" w:beforeAutospacing="1" w:after="100" w:afterAutospacing="1"/>
              <w:jc w:val="center"/>
              <w:rPr>
                <w:rFonts w:ascii="Arial" w:hAnsi="Arial" w:cs="Arial"/>
                <w:sz w:val="24"/>
                <w:szCs w:val="24"/>
              </w:rPr>
            </w:pPr>
            <w:r w:rsidRPr="006F3D96">
              <w:rPr>
                <w:rFonts w:ascii="Arial" w:hAnsi="Arial" w:cs="Arial"/>
                <w:sz w:val="24"/>
                <w:szCs w:val="24"/>
              </w:rPr>
              <w:t>6,635.28</w:t>
            </w:r>
          </w:p>
        </w:tc>
        <w:tc>
          <w:tcPr>
            <w:tcW w:w="1845" w:type="dxa"/>
            <w:vAlign w:val="center"/>
          </w:tcPr>
          <w:p w:rsidR="006A600E" w:rsidRPr="009426EA" w:rsidRDefault="009426EA" w:rsidP="0032075B">
            <w:pPr>
              <w:spacing w:before="100" w:beforeAutospacing="1" w:after="100" w:afterAutospacing="1"/>
              <w:jc w:val="center"/>
              <w:rPr>
                <w:rFonts w:ascii="Arial" w:hAnsi="Arial" w:cs="Arial"/>
                <w:sz w:val="24"/>
                <w:szCs w:val="24"/>
              </w:rPr>
            </w:pPr>
            <w:r w:rsidRPr="009426EA">
              <w:rPr>
                <w:rFonts w:ascii="Arial" w:hAnsi="Arial" w:cs="Arial"/>
                <w:sz w:val="24"/>
                <w:szCs w:val="24"/>
              </w:rPr>
              <w:t>7,999.34</w:t>
            </w:r>
          </w:p>
        </w:tc>
        <w:tc>
          <w:tcPr>
            <w:tcW w:w="1845" w:type="dxa"/>
            <w:vAlign w:val="center"/>
          </w:tcPr>
          <w:p w:rsidR="006A600E" w:rsidRPr="009426EA" w:rsidRDefault="006A600E" w:rsidP="009426EA">
            <w:pPr>
              <w:spacing w:before="100" w:beforeAutospacing="1" w:after="100" w:afterAutospacing="1"/>
              <w:jc w:val="center"/>
              <w:rPr>
                <w:rFonts w:ascii="Arial" w:hAnsi="Arial" w:cs="Arial"/>
                <w:color w:val="00B050"/>
                <w:sz w:val="24"/>
                <w:szCs w:val="24"/>
              </w:rPr>
            </w:pPr>
            <w:r w:rsidRPr="009426EA">
              <w:rPr>
                <w:rFonts w:ascii="Arial" w:hAnsi="Arial" w:cs="Arial"/>
                <w:color w:val="00B050"/>
                <w:sz w:val="24"/>
                <w:szCs w:val="24"/>
              </w:rPr>
              <w:t>+1,3</w:t>
            </w:r>
            <w:r w:rsidR="009426EA" w:rsidRPr="009426EA">
              <w:rPr>
                <w:rFonts w:ascii="Arial" w:hAnsi="Arial" w:cs="Arial"/>
                <w:color w:val="00B050"/>
                <w:sz w:val="24"/>
                <w:szCs w:val="24"/>
              </w:rPr>
              <w:t>64.06</w:t>
            </w:r>
          </w:p>
        </w:tc>
        <w:tc>
          <w:tcPr>
            <w:tcW w:w="1845" w:type="dxa"/>
            <w:vAlign w:val="center"/>
          </w:tcPr>
          <w:p w:rsidR="006A600E" w:rsidRPr="00EA7E50" w:rsidRDefault="006A600E" w:rsidP="009426EA">
            <w:pPr>
              <w:spacing w:before="100" w:beforeAutospacing="1" w:after="100" w:afterAutospacing="1"/>
              <w:jc w:val="center"/>
              <w:rPr>
                <w:rFonts w:ascii="Arial" w:hAnsi="Arial" w:cs="Arial"/>
                <w:color w:val="00B050"/>
                <w:sz w:val="24"/>
                <w:szCs w:val="24"/>
                <w:highlight w:val="yellow"/>
              </w:rPr>
            </w:pPr>
            <w:r w:rsidRPr="009426EA">
              <w:rPr>
                <w:rFonts w:ascii="Arial" w:hAnsi="Arial" w:cs="Arial"/>
                <w:color w:val="00B050"/>
                <w:sz w:val="24"/>
                <w:szCs w:val="24"/>
              </w:rPr>
              <w:t>+20.</w:t>
            </w:r>
            <w:r w:rsidR="009426EA" w:rsidRPr="009426EA">
              <w:rPr>
                <w:rFonts w:ascii="Arial" w:hAnsi="Arial" w:cs="Arial"/>
                <w:color w:val="00B050"/>
                <w:sz w:val="24"/>
                <w:szCs w:val="24"/>
              </w:rPr>
              <w:t>56</w:t>
            </w:r>
            <w:r w:rsidRPr="009426EA">
              <w:rPr>
                <w:rFonts w:ascii="Arial" w:hAnsi="Arial" w:cs="Arial"/>
                <w:color w:val="00B050"/>
                <w:sz w:val="24"/>
                <w:szCs w:val="24"/>
              </w:rPr>
              <w:t>%</w:t>
            </w:r>
          </w:p>
        </w:tc>
      </w:tr>
      <w:tr w:rsidR="006A600E" w:rsidRPr="00035E82" w:rsidTr="0032075B">
        <w:trPr>
          <w:trHeight w:val="552"/>
        </w:trPr>
        <w:tc>
          <w:tcPr>
            <w:tcW w:w="2455" w:type="dxa"/>
            <w:gridSpan w:val="2"/>
            <w:vAlign w:val="center"/>
            <w:hideMark/>
          </w:tcPr>
          <w:p w:rsidR="006A600E" w:rsidRPr="00670F5F" w:rsidRDefault="006A600E" w:rsidP="0032075B">
            <w:pPr>
              <w:spacing w:after="0"/>
              <w:jc w:val="right"/>
              <w:rPr>
                <w:rFonts w:ascii="Arial" w:hAnsi="Arial" w:cs="Arial"/>
                <w:sz w:val="24"/>
                <w:szCs w:val="24"/>
                <w:highlight w:val="yellow"/>
              </w:rPr>
            </w:pPr>
            <w:r w:rsidRPr="006F3D96">
              <w:rPr>
                <w:rFonts w:ascii="Arial" w:hAnsi="Arial" w:cs="Arial"/>
                <w:sz w:val="24"/>
                <w:szCs w:val="24"/>
              </w:rPr>
              <w:t>S&amp;P 500</w:t>
            </w:r>
          </w:p>
        </w:tc>
        <w:tc>
          <w:tcPr>
            <w:tcW w:w="1845" w:type="dxa"/>
            <w:vAlign w:val="center"/>
          </w:tcPr>
          <w:p w:rsidR="006A600E" w:rsidRPr="006F3D96" w:rsidRDefault="006A600E" w:rsidP="0032075B">
            <w:pPr>
              <w:spacing w:before="100" w:beforeAutospacing="1" w:after="100" w:afterAutospacing="1"/>
              <w:jc w:val="center"/>
              <w:rPr>
                <w:rFonts w:ascii="Arial" w:hAnsi="Arial" w:cs="Arial"/>
                <w:sz w:val="24"/>
                <w:szCs w:val="24"/>
              </w:rPr>
            </w:pPr>
            <w:r w:rsidRPr="006F3D96">
              <w:rPr>
                <w:rFonts w:ascii="Arial" w:hAnsi="Arial" w:cs="Arial"/>
                <w:sz w:val="24"/>
                <w:szCs w:val="24"/>
              </w:rPr>
              <w:t>2,506.85</w:t>
            </w:r>
          </w:p>
        </w:tc>
        <w:tc>
          <w:tcPr>
            <w:tcW w:w="1845" w:type="dxa"/>
            <w:vAlign w:val="center"/>
          </w:tcPr>
          <w:p w:rsidR="006A600E" w:rsidRPr="00EA7E50" w:rsidRDefault="009426EA" w:rsidP="0032075B">
            <w:pPr>
              <w:spacing w:before="100" w:beforeAutospacing="1" w:after="100" w:afterAutospacing="1"/>
              <w:jc w:val="center"/>
              <w:rPr>
                <w:rFonts w:ascii="Arial" w:hAnsi="Arial" w:cs="Arial"/>
                <w:sz w:val="24"/>
                <w:szCs w:val="24"/>
                <w:highlight w:val="yellow"/>
              </w:rPr>
            </w:pPr>
            <w:r w:rsidRPr="009426EA">
              <w:rPr>
                <w:rFonts w:ascii="Arial" w:hAnsi="Arial" w:cs="Arial"/>
                <w:sz w:val="24"/>
                <w:szCs w:val="24"/>
              </w:rPr>
              <w:t>2,976.74</w:t>
            </w:r>
          </w:p>
        </w:tc>
        <w:tc>
          <w:tcPr>
            <w:tcW w:w="1845" w:type="dxa"/>
            <w:vAlign w:val="center"/>
          </w:tcPr>
          <w:p w:rsidR="006A600E" w:rsidRPr="00EA7E50" w:rsidRDefault="006A600E" w:rsidP="007437FE">
            <w:pPr>
              <w:spacing w:before="100" w:beforeAutospacing="1" w:after="100" w:afterAutospacing="1"/>
              <w:jc w:val="center"/>
              <w:rPr>
                <w:rFonts w:ascii="Arial" w:hAnsi="Arial" w:cs="Arial"/>
                <w:color w:val="00B050"/>
                <w:sz w:val="24"/>
                <w:szCs w:val="24"/>
                <w:highlight w:val="yellow"/>
              </w:rPr>
            </w:pPr>
            <w:r w:rsidRPr="007437FE">
              <w:rPr>
                <w:rFonts w:ascii="Arial" w:hAnsi="Arial" w:cs="Arial"/>
                <w:color w:val="00B050"/>
                <w:sz w:val="24"/>
                <w:szCs w:val="24"/>
              </w:rPr>
              <w:t>+4</w:t>
            </w:r>
            <w:r w:rsidR="007437FE" w:rsidRPr="007437FE">
              <w:rPr>
                <w:rFonts w:ascii="Arial" w:hAnsi="Arial" w:cs="Arial"/>
                <w:color w:val="00B050"/>
                <w:sz w:val="24"/>
                <w:szCs w:val="24"/>
              </w:rPr>
              <w:t>69.89</w:t>
            </w:r>
          </w:p>
        </w:tc>
        <w:tc>
          <w:tcPr>
            <w:tcW w:w="1845" w:type="dxa"/>
            <w:vAlign w:val="center"/>
          </w:tcPr>
          <w:p w:rsidR="006A600E" w:rsidRPr="00EA7E50" w:rsidRDefault="006A600E" w:rsidP="007437FE">
            <w:pPr>
              <w:spacing w:before="100" w:beforeAutospacing="1" w:after="100" w:afterAutospacing="1"/>
              <w:jc w:val="center"/>
              <w:rPr>
                <w:rFonts w:ascii="Arial" w:hAnsi="Arial" w:cs="Arial"/>
                <w:color w:val="00B050"/>
                <w:sz w:val="24"/>
                <w:szCs w:val="24"/>
                <w:highlight w:val="yellow"/>
              </w:rPr>
            </w:pPr>
            <w:r w:rsidRPr="007437FE">
              <w:rPr>
                <w:rFonts w:ascii="Arial" w:hAnsi="Arial" w:cs="Arial"/>
                <w:color w:val="00B050"/>
                <w:sz w:val="24"/>
                <w:szCs w:val="24"/>
              </w:rPr>
              <w:t>+</w:t>
            </w:r>
            <w:r w:rsidR="007437FE" w:rsidRPr="007437FE">
              <w:rPr>
                <w:rFonts w:ascii="Arial" w:hAnsi="Arial" w:cs="Arial"/>
                <w:color w:val="00B050"/>
                <w:sz w:val="24"/>
                <w:szCs w:val="24"/>
              </w:rPr>
              <w:t>18.74%</w:t>
            </w:r>
          </w:p>
        </w:tc>
      </w:tr>
      <w:tr w:rsidR="006A600E" w:rsidRPr="00035E82" w:rsidTr="0032075B">
        <w:trPr>
          <w:trHeight w:val="552"/>
        </w:trPr>
        <w:tc>
          <w:tcPr>
            <w:tcW w:w="2455" w:type="dxa"/>
            <w:gridSpan w:val="2"/>
            <w:vAlign w:val="center"/>
          </w:tcPr>
          <w:p w:rsidR="006A600E" w:rsidRPr="006F3D96" w:rsidRDefault="006A600E" w:rsidP="0032075B">
            <w:pPr>
              <w:spacing w:after="0"/>
              <w:jc w:val="right"/>
              <w:rPr>
                <w:rFonts w:ascii="Arial" w:hAnsi="Arial" w:cs="Arial"/>
                <w:sz w:val="24"/>
                <w:szCs w:val="24"/>
              </w:rPr>
            </w:pPr>
            <w:r w:rsidRPr="006F3D96">
              <w:rPr>
                <w:rFonts w:ascii="Arial" w:hAnsi="Arial" w:cs="Arial"/>
                <w:sz w:val="24"/>
                <w:szCs w:val="24"/>
              </w:rPr>
              <w:t>MSCI EAFE</w:t>
            </w:r>
          </w:p>
        </w:tc>
        <w:tc>
          <w:tcPr>
            <w:tcW w:w="1845" w:type="dxa"/>
            <w:vAlign w:val="center"/>
          </w:tcPr>
          <w:p w:rsidR="006A600E" w:rsidRPr="006F3D96" w:rsidRDefault="006A600E" w:rsidP="0032075B">
            <w:pPr>
              <w:spacing w:before="100" w:beforeAutospacing="1" w:after="100" w:afterAutospacing="1"/>
              <w:jc w:val="center"/>
              <w:rPr>
                <w:rFonts w:ascii="Arial" w:hAnsi="Arial" w:cs="Arial"/>
                <w:sz w:val="24"/>
                <w:szCs w:val="24"/>
              </w:rPr>
            </w:pPr>
            <w:r w:rsidRPr="006F3D96">
              <w:rPr>
                <w:rFonts w:ascii="Arial" w:hAnsi="Arial" w:cs="Arial"/>
                <w:sz w:val="24"/>
                <w:szCs w:val="24"/>
              </w:rPr>
              <w:t>1,719.94</w:t>
            </w:r>
          </w:p>
        </w:tc>
        <w:tc>
          <w:tcPr>
            <w:tcW w:w="1845" w:type="dxa"/>
            <w:vAlign w:val="center"/>
          </w:tcPr>
          <w:p w:rsidR="006A600E" w:rsidRPr="00EA7E50" w:rsidRDefault="009426EA" w:rsidP="0032075B">
            <w:pPr>
              <w:spacing w:before="100" w:beforeAutospacing="1" w:after="100" w:afterAutospacing="1"/>
              <w:jc w:val="center"/>
              <w:rPr>
                <w:rFonts w:ascii="Arial" w:hAnsi="Arial" w:cs="Arial"/>
                <w:sz w:val="24"/>
                <w:szCs w:val="24"/>
                <w:highlight w:val="yellow"/>
              </w:rPr>
            </w:pPr>
            <w:r w:rsidRPr="009426EA">
              <w:rPr>
                <w:rFonts w:ascii="Arial" w:hAnsi="Arial" w:cs="Arial"/>
                <w:sz w:val="24"/>
                <w:szCs w:val="24"/>
              </w:rPr>
              <w:t>1,895.72</w:t>
            </w:r>
          </w:p>
        </w:tc>
        <w:tc>
          <w:tcPr>
            <w:tcW w:w="1845" w:type="dxa"/>
            <w:vAlign w:val="center"/>
          </w:tcPr>
          <w:p w:rsidR="006A600E" w:rsidRPr="00EA7E50" w:rsidRDefault="006A600E" w:rsidP="009426EA">
            <w:pPr>
              <w:spacing w:before="100" w:beforeAutospacing="1" w:after="100" w:afterAutospacing="1"/>
              <w:jc w:val="center"/>
              <w:rPr>
                <w:rFonts w:ascii="Arial" w:hAnsi="Arial" w:cs="Arial"/>
                <w:color w:val="00B050"/>
                <w:sz w:val="24"/>
                <w:szCs w:val="24"/>
                <w:highlight w:val="yellow"/>
              </w:rPr>
            </w:pPr>
            <w:r w:rsidRPr="009426EA">
              <w:rPr>
                <w:rFonts w:ascii="Arial" w:hAnsi="Arial" w:cs="Arial"/>
                <w:color w:val="00B050"/>
                <w:sz w:val="24"/>
                <w:szCs w:val="24"/>
              </w:rPr>
              <w:t>+</w:t>
            </w:r>
            <w:r w:rsidR="009426EA" w:rsidRPr="009426EA">
              <w:rPr>
                <w:rFonts w:ascii="Arial" w:hAnsi="Arial" w:cs="Arial"/>
                <w:color w:val="00B050"/>
                <w:sz w:val="24"/>
                <w:szCs w:val="24"/>
              </w:rPr>
              <w:t>175.78</w:t>
            </w:r>
          </w:p>
        </w:tc>
        <w:tc>
          <w:tcPr>
            <w:tcW w:w="1845" w:type="dxa"/>
            <w:vAlign w:val="center"/>
          </w:tcPr>
          <w:p w:rsidR="006A600E" w:rsidRPr="00EA7E50" w:rsidRDefault="006A600E" w:rsidP="009426EA">
            <w:pPr>
              <w:spacing w:before="100" w:beforeAutospacing="1" w:after="100" w:afterAutospacing="1"/>
              <w:jc w:val="center"/>
              <w:rPr>
                <w:rFonts w:ascii="Arial" w:hAnsi="Arial" w:cs="Arial"/>
                <w:color w:val="00B050"/>
                <w:sz w:val="24"/>
                <w:szCs w:val="24"/>
                <w:highlight w:val="yellow"/>
              </w:rPr>
            </w:pPr>
            <w:r w:rsidRPr="009426EA">
              <w:rPr>
                <w:rFonts w:ascii="Arial" w:hAnsi="Arial" w:cs="Arial"/>
                <w:color w:val="00B050"/>
                <w:sz w:val="24"/>
                <w:szCs w:val="24"/>
              </w:rPr>
              <w:t>+</w:t>
            </w:r>
            <w:r w:rsidR="009426EA" w:rsidRPr="009426EA">
              <w:rPr>
                <w:rFonts w:ascii="Arial" w:hAnsi="Arial" w:cs="Arial"/>
                <w:color w:val="00B050"/>
                <w:sz w:val="24"/>
                <w:szCs w:val="24"/>
              </w:rPr>
              <w:t>10.22</w:t>
            </w:r>
            <w:r w:rsidRPr="009426EA">
              <w:rPr>
                <w:rFonts w:ascii="Arial" w:hAnsi="Arial" w:cs="Arial"/>
                <w:color w:val="00B050"/>
                <w:sz w:val="24"/>
                <w:szCs w:val="24"/>
              </w:rPr>
              <w:t>%</w:t>
            </w:r>
          </w:p>
        </w:tc>
      </w:tr>
      <w:tr w:rsidR="006A600E" w:rsidRPr="00035E82" w:rsidTr="0032075B">
        <w:trPr>
          <w:trHeight w:val="552"/>
        </w:trPr>
        <w:tc>
          <w:tcPr>
            <w:tcW w:w="2455" w:type="dxa"/>
            <w:gridSpan w:val="2"/>
            <w:vAlign w:val="center"/>
          </w:tcPr>
          <w:p w:rsidR="006A600E" w:rsidRPr="00B87D96" w:rsidRDefault="006A600E" w:rsidP="0032075B">
            <w:pPr>
              <w:spacing w:after="0"/>
              <w:jc w:val="right"/>
              <w:rPr>
                <w:rFonts w:ascii="Arial" w:hAnsi="Arial" w:cs="Arial"/>
                <w:sz w:val="24"/>
                <w:szCs w:val="24"/>
              </w:rPr>
            </w:pPr>
            <w:r w:rsidRPr="00B87D96">
              <w:rPr>
                <w:rFonts w:ascii="Arial" w:hAnsi="Arial" w:cs="Arial"/>
                <w:sz w:val="24"/>
                <w:szCs w:val="24"/>
              </w:rPr>
              <w:lastRenderedPageBreak/>
              <w:t>Russell 2000</w:t>
            </w:r>
          </w:p>
        </w:tc>
        <w:tc>
          <w:tcPr>
            <w:tcW w:w="1845" w:type="dxa"/>
            <w:vAlign w:val="center"/>
          </w:tcPr>
          <w:p w:rsidR="006A600E" w:rsidRPr="00B87D96" w:rsidRDefault="006A600E" w:rsidP="0032075B">
            <w:pPr>
              <w:spacing w:before="100" w:beforeAutospacing="1" w:after="100" w:afterAutospacing="1"/>
              <w:jc w:val="center"/>
              <w:rPr>
                <w:rFonts w:ascii="Arial" w:hAnsi="Arial" w:cs="Arial"/>
                <w:sz w:val="24"/>
                <w:szCs w:val="24"/>
              </w:rPr>
            </w:pPr>
            <w:r w:rsidRPr="00B87D96">
              <w:rPr>
                <w:rFonts w:ascii="Arial" w:hAnsi="Arial" w:cs="Arial"/>
                <w:sz w:val="24"/>
                <w:szCs w:val="24"/>
              </w:rPr>
              <w:t>1,348.56</w:t>
            </w:r>
          </w:p>
        </w:tc>
        <w:tc>
          <w:tcPr>
            <w:tcW w:w="1845" w:type="dxa"/>
            <w:vAlign w:val="center"/>
          </w:tcPr>
          <w:p w:rsidR="006A600E" w:rsidRPr="007437FE" w:rsidRDefault="007437FE" w:rsidP="0032075B">
            <w:pPr>
              <w:spacing w:before="100" w:beforeAutospacing="1" w:after="100" w:afterAutospacing="1"/>
              <w:jc w:val="center"/>
              <w:rPr>
                <w:rFonts w:ascii="Arial" w:hAnsi="Arial" w:cs="Arial"/>
                <w:sz w:val="24"/>
                <w:szCs w:val="24"/>
              </w:rPr>
            </w:pPr>
            <w:r w:rsidRPr="007437FE">
              <w:rPr>
                <w:rFonts w:ascii="Arial" w:hAnsi="Arial" w:cs="Arial"/>
                <w:sz w:val="24"/>
                <w:szCs w:val="24"/>
              </w:rPr>
              <w:t>1,523.37</w:t>
            </w:r>
          </w:p>
        </w:tc>
        <w:tc>
          <w:tcPr>
            <w:tcW w:w="1845" w:type="dxa"/>
            <w:vAlign w:val="center"/>
          </w:tcPr>
          <w:p w:rsidR="006A600E" w:rsidRPr="00EA7E50" w:rsidRDefault="006A600E" w:rsidP="007437FE">
            <w:pPr>
              <w:spacing w:before="100" w:beforeAutospacing="1" w:after="100" w:afterAutospacing="1"/>
              <w:jc w:val="center"/>
              <w:rPr>
                <w:rFonts w:ascii="Arial" w:hAnsi="Arial" w:cs="Arial"/>
                <w:color w:val="00B050"/>
                <w:sz w:val="24"/>
                <w:szCs w:val="24"/>
                <w:highlight w:val="yellow"/>
              </w:rPr>
            </w:pPr>
            <w:r w:rsidRPr="007437FE">
              <w:rPr>
                <w:rFonts w:ascii="Arial" w:hAnsi="Arial" w:cs="Arial"/>
                <w:color w:val="00B050"/>
                <w:sz w:val="24"/>
                <w:szCs w:val="24"/>
              </w:rPr>
              <w:t>+</w:t>
            </w:r>
            <w:r w:rsidR="007437FE" w:rsidRPr="007437FE">
              <w:rPr>
                <w:rFonts w:ascii="Arial" w:hAnsi="Arial" w:cs="Arial"/>
                <w:color w:val="00B050"/>
                <w:sz w:val="24"/>
                <w:szCs w:val="24"/>
              </w:rPr>
              <w:t>174.81</w:t>
            </w:r>
          </w:p>
        </w:tc>
        <w:tc>
          <w:tcPr>
            <w:tcW w:w="1845" w:type="dxa"/>
            <w:vAlign w:val="center"/>
          </w:tcPr>
          <w:p w:rsidR="006A600E" w:rsidRPr="00EA7E50" w:rsidRDefault="006A600E" w:rsidP="007437FE">
            <w:pPr>
              <w:spacing w:before="100" w:beforeAutospacing="1" w:after="100" w:afterAutospacing="1"/>
              <w:jc w:val="center"/>
              <w:rPr>
                <w:rFonts w:ascii="Arial" w:hAnsi="Arial" w:cs="Arial"/>
                <w:color w:val="00B050"/>
                <w:sz w:val="24"/>
                <w:szCs w:val="24"/>
                <w:highlight w:val="yellow"/>
              </w:rPr>
            </w:pPr>
            <w:r w:rsidRPr="007437FE">
              <w:rPr>
                <w:rFonts w:ascii="Arial" w:hAnsi="Arial" w:cs="Arial"/>
                <w:color w:val="00B050"/>
                <w:sz w:val="24"/>
                <w:szCs w:val="24"/>
              </w:rPr>
              <w:t>+</w:t>
            </w:r>
            <w:r w:rsidR="007437FE" w:rsidRPr="007437FE">
              <w:rPr>
                <w:rFonts w:ascii="Arial" w:hAnsi="Arial" w:cs="Arial"/>
                <w:color w:val="00B050"/>
                <w:sz w:val="24"/>
                <w:szCs w:val="24"/>
              </w:rPr>
              <w:t>12.96</w:t>
            </w:r>
            <w:r w:rsidRPr="007437FE">
              <w:rPr>
                <w:rFonts w:ascii="Arial" w:hAnsi="Arial" w:cs="Arial"/>
                <w:color w:val="00B050"/>
                <w:sz w:val="24"/>
                <w:szCs w:val="24"/>
              </w:rPr>
              <w:t>%</w:t>
            </w:r>
          </w:p>
        </w:tc>
      </w:tr>
      <w:tr w:rsidR="006A600E" w:rsidRPr="00035E82" w:rsidTr="0032075B">
        <w:trPr>
          <w:trHeight w:val="552"/>
        </w:trPr>
        <w:tc>
          <w:tcPr>
            <w:tcW w:w="2455" w:type="dxa"/>
            <w:gridSpan w:val="2"/>
            <w:vAlign w:val="center"/>
          </w:tcPr>
          <w:p w:rsidR="006A600E" w:rsidRPr="009426EA" w:rsidRDefault="006A600E" w:rsidP="0032075B">
            <w:pPr>
              <w:spacing w:after="0"/>
              <w:jc w:val="right"/>
              <w:rPr>
                <w:rFonts w:ascii="Arial" w:hAnsi="Arial" w:cs="Arial"/>
                <w:sz w:val="24"/>
                <w:szCs w:val="24"/>
              </w:rPr>
            </w:pPr>
            <w:r w:rsidRPr="009426EA">
              <w:rPr>
                <w:rFonts w:ascii="Arial" w:hAnsi="Arial" w:cs="Arial"/>
                <w:sz w:val="24"/>
                <w:szCs w:val="24"/>
              </w:rPr>
              <w:t>Bloomberg Barclays Aggregate Bond</w:t>
            </w:r>
          </w:p>
        </w:tc>
        <w:tc>
          <w:tcPr>
            <w:tcW w:w="1845" w:type="dxa"/>
            <w:vAlign w:val="center"/>
          </w:tcPr>
          <w:p w:rsidR="006A600E" w:rsidRPr="009426EA" w:rsidRDefault="006A600E" w:rsidP="0032075B">
            <w:pPr>
              <w:spacing w:before="100" w:beforeAutospacing="1" w:after="100" w:afterAutospacing="1"/>
              <w:jc w:val="center"/>
              <w:rPr>
                <w:rFonts w:ascii="Arial" w:hAnsi="Arial" w:cs="Arial"/>
                <w:sz w:val="24"/>
                <w:szCs w:val="24"/>
              </w:rPr>
            </w:pPr>
            <w:r w:rsidRPr="009426EA">
              <w:rPr>
                <w:rFonts w:ascii="Arial" w:hAnsi="Arial" w:cs="Arial"/>
                <w:sz w:val="24"/>
                <w:szCs w:val="24"/>
              </w:rPr>
              <w:t>2,046.60</w:t>
            </w:r>
          </w:p>
        </w:tc>
        <w:tc>
          <w:tcPr>
            <w:tcW w:w="1845" w:type="dxa"/>
            <w:vAlign w:val="center"/>
          </w:tcPr>
          <w:p w:rsidR="006A600E" w:rsidRPr="009426EA" w:rsidRDefault="009426EA" w:rsidP="0032075B">
            <w:pPr>
              <w:spacing w:before="100" w:beforeAutospacing="1" w:after="100" w:afterAutospacing="1"/>
              <w:jc w:val="center"/>
              <w:rPr>
                <w:rFonts w:ascii="Arial" w:hAnsi="Arial" w:cs="Arial"/>
                <w:sz w:val="24"/>
                <w:szCs w:val="24"/>
              </w:rPr>
            </w:pPr>
            <w:r w:rsidRPr="009426EA">
              <w:rPr>
                <w:rFonts w:ascii="Arial" w:hAnsi="Arial" w:cs="Arial"/>
                <w:sz w:val="24"/>
                <w:szCs w:val="24"/>
              </w:rPr>
              <w:t>2,219.97</w:t>
            </w:r>
          </w:p>
        </w:tc>
        <w:tc>
          <w:tcPr>
            <w:tcW w:w="1845" w:type="dxa"/>
            <w:vAlign w:val="center"/>
          </w:tcPr>
          <w:p w:rsidR="006A600E" w:rsidRPr="009426EA" w:rsidRDefault="006A600E" w:rsidP="009426EA">
            <w:pPr>
              <w:spacing w:before="100" w:beforeAutospacing="1" w:after="100" w:afterAutospacing="1"/>
              <w:jc w:val="center"/>
              <w:rPr>
                <w:rFonts w:ascii="Arial" w:hAnsi="Arial" w:cs="Arial"/>
                <w:color w:val="00B050"/>
                <w:sz w:val="24"/>
                <w:szCs w:val="24"/>
              </w:rPr>
            </w:pPr>
            <w:r w:rsidRPr="009426EA">
              <w:rPr>
                <w:rFonts w:ascii="Arial" w:hAnsi="Arial" w:cs="Arial"/>
                <w:color w:val="00B050"/>
                <w:sz w:val="24"/>
                <w:szCs w:val="24"/>
              </w:rPr>
              <w:t>+</w:t>
            </w:r>
            <w:r w:rsidR="009426EA" w:rsidRPr="009426EA">
              <w:rPr>
                <w:rFonts w:ascii="Arial" w:hAnsi="Arial" w:cs="Arial"/>
                <w:color w:val="00B050"/>
                <w:sz w:val="24"/>
                <w:szCs w:val="24"/>
              </w:rPr>
              <w:t>173.37</w:t>
            </w:r>
          </w:p>
        </w:tc>
        <w:tc>
          <w:tcPr>
            <w:tcW w:w="1845" w:type="dxa"/>
            <w:vAlign w:val="center"/>
          </w:tcPr>
          <w:p w:rsidR="006A600E" w:rsidRPr="009426EA" w:rsidRDefault="006A600E" w:rsidP="009426EA">
            <w:pPr>
              <w:spacing w:before="100" w:beforeAutospacing="1" w:after="100" w:afterAutospacing="1"/>
              <w:jc w:val="center"/>
              <w:rPr>
                <w:rFonts w:ascii="Arial" w:hAnsi="Arial" w:cs="Arial"/>
                <w:color w:val="00B050"/>
                <w:sz w:val="24"/>
                <w:szCs w:val="24"/>
              </w:rPr>
            </w:pPr>
            <w:r w:rsidRPr="009426EA">
              <w:rPr>
                <w:rFonts w:ascii="Arial" w:hAnsi="Arial" w:cs="Arial"/>
                <w:color w:val="00B050"/>
                <w:sz w:val="24"/>
                <w:szCs w:val="24"/>
              </w:rPr>
              <w:t>+</w:t>
            </w:r>
            <w:r w:rsidR="009426EA" w:rsidRPr="009426EA">
              <w:rPr>
                <w:rFonts w:ascii="Arial" w:hAnsi="Arial" w:cs="Arial"/>
                <w:color w:val="00B050"/>
                <w:sz w:val="24"/>
                <w:szCs w:val="24"/>
              </w:rPr>
              <w:t>8.47</w:t>
            </w:r>
            <w:r w:rsidRPr="009426EA">
              <w:rPr>
                <w:rFonts w:ascii="Arial" w:hAnsi="Arial" w:cs="Arial"/>
                <w:color w:val="00B050"/>
                <w:sz w:val="24"/>
                <w:szCs w:val="24"/>
              </w:rPr>
              <w:t>%</w:t>
            </w:r>
          </w:p>
        </w:tc>
      </w:tr>
      <w:tr w:rsidR="006A600E" w:rsidRPr="00035E82" w:rsidTr="0032075B">
        <w:tblPrEx>
          <w:tblCellMar>
            <w:left w:w="108" w:type="dxa"/>
            <w:right w:w="108" w:type="dxa"/>
          </w:tblCellMar>
        </w:tblPrEx>
        <w:trPr>
          <w:gridBefore w:val="1"/>
          <w:wBefore w:w="7" w:type="dxa"/>
          <w:trHeight w:val="491"/>
        </w:trPr>
        <w:tc>
          <w:tcPr>
            <w:tcW w:w="9828" w:type="dxa"/>
            <w:gridSpan w:val="5"/>
            <w:tcBorders>
              <w:top w:val="single" w:sz="4" w:space="0" w:color="auto"/>
              <w:left w:val="nil"/>
              <w:bottom w:val="nil"/>
              <w:right w:val="nil"/>
            </w:tcBorders>
            <w:vAlign w:val="center"/>
          </w:tcPr>
          <w:p w:rsidR="006A600E" w:rsidRPr="00BA2FDA" w:rsidRDefault="006A600E" w:rsidP="00EA7E50">
            <w:pPr>
              <w:jc w:val="right"/>
              <w:rPr>
                <w:rFonts w:ascii="Arial" w:hAnsi="Arial" w:cs="Arial"/>
                <w:color w:val="FF0000"/>
                <w:sz w:val="24"/>
                <w:szCs w:val="24"/>
              </w:rPr>
            </w:pPr>
            <w:r w:rsidRPr="00BA2FDA">
              <w:rPr>
                <w:rFonts w:ascii="Arial" w:hAnsi="Arial" w:cs="Arial"/>
                <w:sz w:val="24"/>
                <w:szCs w:val="24"/>
              </w:rPr>
              <w:t xml:space="preserve">Performance reflects price returns as of 4:00 p.m. ET on </w:t>
            </w:r>
            <w:r w:rsidR="00EA7E50">
              <w:rPr>
                <w:rFonts w:ascii="Arial" w:hAnsi="Arial" w:cs="Arial"/>
                <w:sz w:val="24"/>
                <w:szCs w:val="24"/>
              </w:rPr>
              <w:t>September</w:t>
            </w:r>
            <w:r w:rsidRPr="00BA2FDA">
              <w:rPr>
                <w:rFonts w:ascii="Arial" w:hAnsi="Arial" w:cs="Arial"/>
                <w:sz w:val="24"/>
                <w:szCs w:val="24"/>
              </w:rPr>
              <w:t xml:space="preserve"> 30, 2019</w:t>
            </w:r>
          </w:p>
        </w:tc>
      </w:tr>
    </w:tbl>
    <w:p w:rsidR="006A600E" w:rsidRPr="00B410EE" w:rsidRDefault="006A600E" w:rsidP="00FD514A">
      <w:pPr>
        <w:rPr>
          <w:rFonts w:ascii="Arial" w:hAnsi="Arial" w:cs="Arial"/>
          <w:sz w:val="24"/>
          <w:szCs w:val="24"/>
        </w:rPr>
      </w:pPr>
    </w:p>
    <w:p w:rsidR="00CB4BBA" w:rsidRPr="00812073" w:rsidRDefault="00CB4BBA" w:rsidP="00CB4BBA">
      <w:pPr>
        <w:rPr>
          <w:rFonts w:ascii="Arial" w:hAnsi="Arial" w:cs="Arial"/>
          <w:sz w:val="24"/>
          <w:szCs w:val="24"/>
        </w:rPr>
      </w:pPr>
      <w:r w:rsidRPr="00812073">
        <w:rPr>
          <w:rFonts w:ascii="Arial" w:hAnsi="Arial" w:cs="Arial"/>
          <w:sz w:val="24"/>
          <w:szCs w:val="24"/>
        </w:rPr>
        <w:t>Here is a look</w:t>
      </w:r>
      <w:r w:rsidR="00D52321">
        <w:rPr>
          <w:rFonts w:ascii="Arial" w:hAnsi="Arial" w:cs="Arial"/>
          <w:sz w:val="24"/>
          <w:szCs w:val="24"/>
        </w:rPr>
        <w:t xml:space="preserve"> at </w:t>
      </w:r>
      <w:r w:rsidR="00632C83">
        <w:rPr>
          <w:rFonts w:ascii="Arial" w:hAnsi="Arial" w:cs="Arial"/>
          <w:sz w:val="24"/>
          <w:szCs w:val="24"/>
        </w:rPr>
        <w:t xml:space="preserve">some </w:t>
      </w:r>
      <w:r w:rsidRPr="00812073">
        <w:rPr>
          <w:rFonts w:ascii="Arial" w:hAnsi="Arial" w:cs="Arial"/>
          <w:sz w:val="24"/>
          <w:szCs w:val="24"/>
        </w:rPr>
        <w:t>key factors we are watching</w:t>
      </w:r>
      <w:r w:rsidR="00632C83">
        <w:rPr>
          <w:rFonts w:ascii="Arial" w:hAnsi="Arial" w:cs="Arial"/>
          <w:sz w:val="24"/>
          <w:szCs w:val="24"/>
        </w:rPr>
        <w:t>, both here and abroad</w:t>
      </w:r>
      <w:r w:rsidRPr="00812073">
        <w:rPr>
          <w:rFonts w:ascii="Arial" w:hAnsi="Arial" w:cs="Arial"/>
          <w:sz w:val="24"/>
          <w:szCs w:val="24"/>
        </w:rPr>
        <w:t>:</w:t>
      </w:r>
    </w:p>
    <w:p w:rsidR="00D84E88" w:rsidRPr="004D1526" w:rsidRDefault="00A16323" w:rsidP="00D84E88">
      <w:pPr>
        <w:rPr>
          <w:rFonts w:ascii="Arial" w:hAnsi="Arial" w:cs="Arial"/>
          <w:sz w:val="24"/>
          <w:szCs w:val="24"/>
        </w:rPr>
      </w:pPr>
      <w:r w:rsidRPr="00035E82">
        <w:rPr>
          <w:rFonts w:ascii="Arial" w:hAnsi="Arial" w:cs="Arial"/>
          <w:b/>
          <w:sz w:val="24"/>
          <w:szCs w:val="24"/>
        </w:rPr>
        <w:t>Economy</w:t>
      </w:r>
    </w:p>
    <w:p w:rsidR="004D3383" w:rsidRDefault="004D3383" w:rsidP="004D3383">
      <w:pPr>
        <w:pStyle w:val="ListParagraph"/>
        <w:numPr>
          <w:ilvl w:val="0"/>
          <w:numId w:val="54"/>
        </w:numPr>
        <w:spacing w:line="252" w:lineRule="auto"/>
        <w:rPr>
          <w:rFonts w:ascii="Arial" w:hAnsi="Arial" w:cs="Arial"/>
          <w:sz w:val="24"/>
          <w:szCs w:val="24"/>
        </w:rPr>
      </w:pPr>
      <w:r>
        <w:rPr>
          <w:rFonts w:ascii="Arial" w:hAnsi="Arial" w:cs="Arial"/>
          <w:sz w:val="24"/>
          <w:szCs w:val="24"/>
        </w:rPr>
        <w:t>Brown reports that recent economic data have been mixed, reflecting continued strength in consumer spending, but general weakness in manufacturing. Fed Chair Powell noted that businesses report that trade policy uncertainty has discouraged them from further investment.</w:t>
      </w:r>
    </w:p>
    <w:p w:rsidR="00B80BE1" w:rsidRPr="002A2138" w:rsidRDefault="00B80BE1" w:rsidP="002A2138">
      <w:pPr>
        <w:pStyle w:val="ListParagraph"/>
        <w:numPr>
          <w:ilvl w:val="0"/>
          <w:numId w:val="54"/>
        </w:numPr>
        <w:rPr>
          <w:rFonts w:ascii="Arial" w:hAnsi="Arial" w:cs="Arial"/>
          <w:sz w:val="24"/>
        </w:rPr>
      </w:pPr>
      <w:r w:rsidRPr="002A2138">
        <w:rPr>
          <w:rFonts w:ascii="Arial" w:hAnsi="Arial" w:cs="Arial"/>
          <w:sz w:val="24"/>
        </w:rPr>
        <w:t xml:space="preserve">Strong household sector fundamentals should continue to support consumer spending growth and offset weakness in other sectors, </w:t>
      </w:r>
      <w:r w:rsidR="00FB5F12">
        <w:rPr>
          <w:rFonts w:ascii="Arial" w:hAnsi="Arial" w:cs="Arial"/>
          <w:sz w:val="24"/>
        </w:rPr>
        <w:t>Brown</w:t>
      </w:r>
      <w:r w:rsidRPr="002A2138">
        <w:rPr>
          <w:rFonts w:ascii="Arial" w:hAnsi="Arial" w:cs="Arial"/>
          <w:sz w:val="24"/>
        </w:rPr>
        <w:t xml:space="preserve"> </w:t>
      </w:r>
      <w:proofErr w:type="gramStart"/>
      <w:r w:rsidRPr="002A2138">
        <w:rPr>
          <w:rFonts w:ascii="Arial" w:hAnsi="Arial" w:cs="Arial"/>
          <w:sz w:val="24"/>
        </w:rPr>
        <w:t>adds</w:t>
      </w:r>
      <w:proofErr w:type="gramEnd"/>
      <w:r w:rsidRPr="002A2138">
        <w:rPr>
          <w:rFonts w:ascii="Arial" w:hAnsi="Arial" w:cs="Arial"/>
          <w:sz w:val="24"/>
        </w:rPr>
        <w:t>, but a deterioration in labor market conditions would shift that outlook.</w:t>
      </w:r>
    </w:p>
    <w:p w:rsidR="00EA7E50" w:rsidRDefault="00EA7E50" w:rsidP="00C91959">
      <w:pPr>
        <w:rPr>
          <w:rFonts w:ascii="Arial" w:hAnsi="Arial" w:cs="Arial"/>
          <w:b/>
          <w:sz w:val="24"/>
          <w:szCs w:val="24"/>
        </w:rPr>
      </w:pPr>
    </w:p>
    <w:p w:rsidR="007757EA" w:rsidRPr="008E357B" w:rsidRDefault="00141CE2" w:rsidP="00C91959">
      <w:pPr>
        <w:rPr>
          <w:rFonts w:ascii="Arial" w:hAnsi="Arial" w:cs="Arial"/>
          <w:sz w:val="28"/>
          <w:szCs w:val="24"/>
        </w:rPr>
      </w:pPr>
      <w:r w:rsidRPr="00035E82">
        <w:rPr>
          <w:rFonts w:ascii="Arial" w:hAnsi="Arial" w:cs="Arial"/>
          <w:b/>
          <w:sz w:val="24"/>
          <w:szCs w:val="24"/>
        </w:rPr>
        <w:t>Equities</w:t>
      </w:r>
    </w:p>
    <w:p w:rsidR="004D3383" w:rsidRPr="008E357B" w:rsidRDefault="004D3383" w:rsidP="004D3383">
      <w:pPr>
        <w:pStyle w:val="ListParagraph"/>
        <w:numPr>
          <w:ilvl w:val="0"/>
          <w:numId w:val="52"/>
        </w:numPr>
        <w:rPr>
          <w:rFonts w:ascii="Arial" w:hAnsi="Arial" w:cs="Arial"/>
          <w:sz w:val="24"/>
        </w:rPr>
      </w:pPr>
      <w:r w:rsidRPr="008E357B">
        <w:rPr>
          <w:rFonts w:ascii="Arial" w:hAnsi="Arial" w:cs="Arial"/>
          <w:sz w:val="24"/>
        </w:rPr>
        <w:t xml:space="preserve">Overall, Joey </w:t>
      </w:r>
      <w:proofErr w:type="spellStart"/>
      <w:r w:rsidRPr="008E357B">
        <w:rPr>
          <w:rFonts w:ascii="Arial" w:hAnsi="Arial" w:cs="Arial"/>
          <w:sz w:val="24"/>
        </w:rPr>
        <w:t>Madere</w:t>
      </w:r>
      <w:proofErr w:type="spellEnd"/>
      <w:r w:rsidRPr="008E357B">
        <w:rPr>
          <w:rFonts w:ascii="Arial" w:hAnsi="Arial" w:cs="Arial"/>
          <w:sz w:val="24"/>
        </w:rPr>
        <w:t xml:space="preserve">, senior portfolio strategist, Equity Portfolio &amp; Technical Strategy, and his team maintain a generally positive bias toward equities. </w:t>
      </w:r>
      <w:proofErr w:type="spellStart"/>
      <w:r w:rsidRPr="008E357B">
        <w:rPr>
          <w:rFonts w:ascii="Arial" w:hAnsi="Arial" w:cs="Arial"/>
          <w:sz w:val="24"/>
        </w:rPr>
        <w:t>Madere</w:t>
      </w:r>
      <w:proofErr w:type="spellEnd"/>
      <w:r w:rsidRPr="008E357B">
        <w:rPr>
          <w:rFonts w:ascii="Arial" w:hAnsi="Arial" w:cs="Arial"/>
          <w:sz w:val="24"/>
        </w:rPr>
        <w:t xml:space="preserve"> notes it is too soon to tell whether the recent improvement for cyclical sectors, like banks and industrials, is sustainable – however</w:t>
      </w:r>
      <w:r w:rsidR="005F1C70">
        <w:rPr>
          <w:rFonts w:ascii="Arial" w:hAnsi="Arial" w:cs="Arial"/>
          <w:sz w:val="24"/>
        </w:rPr>
        <w:t>,</w:t>
      </w:r>
      <w:r w:rsidRPr="008E357B">
        <w:rPr>
          <w:rFonts w:ascii="Arial" w:hAnsi="Arial" w:cs="Arial"/>
          <w:sz w:val="24"/>
        </w:rPr>
        <w:t xml:space="preserve"> if the trend continues for these deep cyclical sectors and former leading sectors rebound, he sees this movement as a market positive.</w:t>
      </w:r>
    </w:p>
    <w:p w:rsidR="004D3383" w:rsidRPr="008E357B" w:rsidRDefault="004D3383" w:rsidP="004D3383">
      <w:pPr>
        <w:pStyle w:val="ListParagraph"/>
        <w:numPr>
          <w:ilvl w:val="0"/>
          <w:numId w:val="52"/>
        </w:numPr>
        <w:rPr>
          <w:rFonts w:ascii="Arial" w:hAnsi="Arial" w:cs="Arial"/>
          <w:sz w:val="24"/>
        </w:rPr>
      </w:pPr>
      <w:r w:rsidRPr="008E357B">
        <w:rPr>
          <w:rFonts w:ascii="Arial" w:hAnsi="Arial" w:cs="Arial"/>
          <w:sz w:val="24"/>
        </w:rPr>
        <w:t xml:space="preserve">He expects the third quarter to end with flattish earnings growth, however, he </w:t>
      </w:r>
      <w:proofErr w:type="gramStart"/>
      <w:r w:rsidRPr="008E357B">
        <w:rPr>
          <w:rFonts w:ascii="Arial" w:hAnsi="Arial" w:cs="Arial"/>
          <w:sz w:val="24"/>
        </w:rPr>
        <w:t>does</w:t>
      </w:r>
      <w:proofErr w:type="gramEnd"/>
      <w:r w:rsidRPr="008E357B">
        <w:rPr>
          <w:rFonts w:ascii="Arial" w:hAnsi="Arial" w:cs="Arial"/>
          <w:sz w:val="24"/>
        </w:rPr>
        <w:t xml:space="preserve"> expect more supportive growth from the average stock, led by companies with more exposure to the U.S. and less exposure to overseas markets. </w:t>
      </w:r>
    </w:p>
    <w:p w:rsidR="004D3383" w:rsidRPr="008E357B" w:rsidRDefault="004D3383" w:rsidP="004D3383">
      <w:pPr>
        <w:pStyle w:val="ListParagraph"/>
        <w:numPr>
          <w:ilvl w:val="0"/>
          <w:numId w:val="52"/>
        </w:numPr>
        <w:rPr>
          <w:rFonts w:ascii="Arial" w:hAnsi="Arial" w:cs="Arial"/>
          <w:sz w:val="24"/>
        </w:rPr>
      </w:pPr>
      <w:r w:rsidRPr="008E357B">
        <w:rPr>
          <w:rFonts w:ascii="Arial" w:hAnsi="Arial" w:cs="Arial"/>
          <w:sz w:val="24"/>
        </w:rPr>
        <w:t xml:space="preserve">While overall </w:t>
      </w:r>
      <w:r w:rsidR="006B1F0D">
        <w:rPr>
          <w:rFonts w:ascii="Arial" w:hAnsi="Arial" w:cs="Arial"/>
          <w:sz w:val="24"/>
        </w:rPr>
        <w:t xml:space="preserve">the </w:t>
      </w:r>
      <w:r w:rsidR="0024087D">
        <w:rPr>
          <w:rFonts w:ascii="Arial" w:hAnsi="Arial" w:cs="Arial"/>
          <w:sz w:val="24"/>
        </w:rPr>
        <w:t>t</w:t>
      </w:r>
      <w:r w:rsidRPr="008E357B">
        <w:rPr>
          <w:rFonts w:ascii="Arial" w:hAnsi="Arial" w:cs="Arial"/>
          <w:sz w:val="24"/>
        </w:rPr>
        <w:t>echnology</w:t>
      </w:r>
      <w:r w:rsidR="00D47C83">
        <w:rPr>
          <w:rFonts w:ascii="Arial" w:hAnsi="Arial" w:cs="Arial"/>
          <w:sz w:val="24"/>
        </w:rPr>
        <w:t xml:space="preserve"> sector</w:t>
      </w:r>
      <w:r w:rsidRPr="008E357B">
        <w:rPr>
          <w:rFonts w:ascii="Arial" w:hAnsi="Arial" w:cs="Arial"/>
          <w:sz w:val="24"/>
        </w:rPr>
        <w:t xml:space="preserve"> is faring fine, </w:t>
      </w:r>
      <w:r w:rsidR="007F1824" w:rsidRPr="008E357B">
        <w:rPr>
          <w:rFonts w:ascii="Arial" w:hAnsi="Arial" w:cs="Arial"/>
          <w:sz w:val="24"/>
        </w:rPr>
        <w:t xml:space="preserve">the </w:t>
      </w:r>
      <w:r w:rsidRPr="008E357B">
        <w:rPr>
          <w:rFonts w:ascii="Arial" w:hAnsi="Arial" w:cs="Arial"/>
          <w:sz w:val="24"/>
        </w:rPr>
        <w:t>tech-heavy NASDAQ has underperformed slightly due to former leaders, like software and IT services, falling slightly as former lagging sectors, like semiconductors and hardware, perform above their norm.</w:t>
      </w:r>
    </w:p>
    <w:p w:rsidR="00921E65" w:rsidRPr="008E357B" w:rsidRDefault="004D3383" w:rsidP="00921E65">
      <w:pPr>
        <w:pStyle w:val="ListParagraph"/>
        <w:numPr>
          <w:ilvl w:val="0"/>
          <w:numId w:val="52"/>
        </w:numPr>
        <w:rPr>
          <w:rFonts w:ascii="Arial" w:hAnsi="Arial" w:cs="Arial"/>
          <w:sz w:val="24"/>
        </w:rPr>
      </w:pPr>
      <w:proofErr w:type="spellStart"/>
      <w:r w:rsidRPr="008E357B">
        <w:rPr>
          <w:rFonts w:ascii="Arial" w:hAnsi="Arial" w:cs="Arial"/>
          <w:sz w:val="24"/>
        </w:rPr>
        <w:t>Madere</w:t>
      </w:r>
      <w:proofErr w:type="spellEnd"/>
      <w:r w:rsidRPr="008E357B">
        <w:rPr>
          <w:rFonts w:ascii="Arial" w:hAnsi="Arial" w:cs="Arial"/>
          <w:sz w:val="24"/>
        </w:rPr>
        <w:t xml:space="preserve"> sees earnings season and the upcoming trade talks as the most important influences to monitor in the coming weeks and expects any market reaction to impeachment proceedings to be short-lived. He views short-term volatility as a buying opportunity.  </w:t>
      </w:r>
    </w:p>
    <w:p w:rsidR="00D82332" w:rsidRDefault="00D82332" w:rsidP="00254C79">
      <w:pPr>
        <w:rPr>
          <w:rFonts w:ascii="Arial" w:hAnsi="Arial" w:cs="Arial"/>
          <w:b/>
          <w:sz w:val="24"/>
          <w:szCs w:val="24"/>
        </w:rPr>
      </w:pPr>
    </w:p>
    <w:p w:rsidR="00DD4D15" w:rsidRPr="003A08D2" w:rsidRDefault="00A16323" w:rsidP="00254C79">
      <w:pPr>
        <w:rPr>
          <w:rFonts w:ascii="Arial" w:hAnsi="Arial" w:cs="Arial"/>
          <w:b/>
          <w:sz w:val="24"/>
          <w:szCs w:val="24"/>
        </w:rPr>
      </w:pPr>
      <w:r w:rsidRPr="00035E82">
        <w:rPr>
          <w:rFonts w:ascii="Arial" w:hAnsi="Arial" w:cs="Arial"/>
          <w:b/>
          <w:sz w:val="24"/>
          <w:szCs w:val="24"/>
        </w:rPr>
        <w:t>Fixed income</w:t>
      </w:r>
    </w:p>
    <w:p w:rsidR="00B04851" w:rsidRPr="00632C83" w:rsidRDefault="00B04851" w:rsidP="00632C83">
      <w:pPr>
        <w:pStyle w:val="NoSpacing"/>
        <w:numPr>
          <w:ilvl w:val="0"/>
          <w:numId w:val="59"/>
        </w:numPr>
        <w:rPr>
          <w:rFonts w:ascii="Arial" w:hAnsi="Arial" w:cs="Arial"/>
          <w:sz w:val="24"/>
        </w:rPr>
      </w:pPr>
      <w:r w:rsidRPr="00632C83">
        <w:rPr>
          <w:rFonts w:ascii="Arial" w:hAnsi="Arial" w:cs="Arial"/>
          <w:sz w:val="24"/>
        </w:rPr>
        <w:lastRenderedPageBreak/>
        <w:t>The</w:t>
      </w:r>
      <w:r w:rsidR="00B24079">
        <w:rPr>
          <w:rFonts w:ascii="Arial" w:hAnsi="Arial" w:cs="Arial"/>
          <w:sz w:val="24"/>
        </w:rPr>
        <w:t xml:space="preserve"> </w:t>
      </w:r>
      <w:r w:rsidR="004D3383">
        <w:rPr>
          <w:rFonts w:ascii="Arial" w:hAnsi="Arial" w:cs="Arial"/>
          <w:sz w:val="24"/>
        </w:rPr>
        <w:t>federal</w:t>
      </w:r>
      <w:r w:rsidRPr="00632C83">
        <w:rPr>
          <w:rFonts w:ascii="Arial" w:hAnsi="Arial" w:cs="Arial"/>
          <w:sz w:val="24"/>
        </w:rPr>
        <w:t xml:space="preserve"> </w:t>
      </w:r>
      <w:r w:rsidR="004D3383">
        <w:rPr>
          <w:rFonts w:ascii="Arial" w:hAnsi="Arial" w:cs="Arial"/>
          <w:sz w:val="24"/>
        </w:rPr>
        <w:t>funds</w:t>
      </w:r>
      <w:r w:rsidRPr="00632C83">
        <w:rPr>
          <w:rFonts w:ascii="Arial" w:hAnsi="Arial" w:cs="Arial"/>
          <w:sz w:val="24"/>
        </w:rPr>
        <w:t xml:space="preserve"> </w:t>
      </w:r>
      <w:r w:rsidR="008A4640">
        <w:rPr>
          <w:rFonts w:ascii="Arial" w:hAnsi="Arial" w:cs="Arial"/>
          <w:sz w:val="24"/>
        </w:rPr>
        <w:t xml:space="preserve">rate is now in the </w:t>
      </w:r>
      <w:r w:rsidRPr="00632C83">
        <w:rPr>
          <w:rFonts w:ascii="Arial" w:hAnsi="Arial" w:cs="Arial"/>
          <w:sz w:val="24"/>
        </w:rPr>
        <w:t xml:space="preserve">1.75%-2.00% target range. </w:t>
      </w:r>
      <w:r w:rsidR="00B24079" w:rsidRPr="00B24079">
        <w:rPr>
          <w:rFonts w:ascii="Arial" w:hAnsi="Arial" w:cs="Arial"/>
          <w:sz w:val="24"/>
          <w:szCs w:val="24"/>
        </w:rPr>
        <w:t>Drabik</w:t>
      </w:r>
      <w:r w:rsidR="00DA3627">
        <w:rPr>
          <w:rFonts w:ascii="Arial" w:hAnsi="Arial" w:cs="Arial"/>
          <w:sz w:val="24"/>
          <w:szCs w:val="24"/>
        </w:rPr>
        <w:t xml:space="preserve"> </w:t>
      </w:r>
      <w:r w:rsidR="008A4640">
        <w:rPr>
          <w:rFonts w:ascii="Arial" w:hAnsi="Arial" w:cs="Arial"/>
          <w:sz w:val="24"/>
          <w:szCs w:val="24"/>
        </w:rPr>
        <w:t xml:space="preserve">believes </w:t>
      </w:r>
      <w:r w:rsidRPr="00632C83">
        <w:rPr>
          <w:rFonts w:ascii="Arial" w:hAnsi="Arial" w:cs="Arial"/>
          <w:sz w:val="24"/>
        </w:rPr>
        <w:t xml:space="preserve">there is a </w:t>
      </w:r>
      <w:r w:rsidR="008A4640">
        <w:rPr>
          <w:rFonts w:ascii="Arial" w:hAnsi="Arial" w:cs="Arial"/>
          <w:sz w:val="24"/>
        </w:rPr>
        <w:t>high</w:t>
      </w:r>
      <w:r w:rsidRPr="00632C83">
        <w:rPr>
          <w:rFonts w:ascii="Arial" w:hAnsi="Arial" w:cs="Arial"/>
          <w:sz w:val="24"/>
        </w:rPr>
        <w:t xml:space="preserve"> probability that</w:t>
      </w:r>
      <w:r w:rsidR="008A4640">
        <w:rPr>
          <w:rFonts w:ascii="Arial" w:hAnsi="Arial" w:cs="Arial"/>
          <w:sz w:val="24"/>
        </w:rPr>
        <w:t xml:space="preserve"> central bankers</w:t>
      </w:r>
      <w:r w:rsidR="008A4640" w:rsidRPr="00632C83">
        <w:rPr>
          <w:rFonts w:ascii="Arial" w:hAnsi="Arial" w:cs="Arial"/>
          <w:sz w:val="24"/>
        </w:rPr>
        <w:t xml:space="preserve"> </w:t>
      </w:r>
      <w:r w:rsidRPr="00632C83">
        <w:rPr>
          <w:rFonts w:ascii="Arial" w:hAnsi="Arial" w:cs="Arial"/>
          <w:sz w:val="24"/>
        </w:rPr>
        <w:t xml:space="preserve">will cut once more </w:t>
      </w:r>
      <w:r w:rsidR="008A4640">
        <w:rPr>
          <w:rFonts w:ascii="Arial" w:hAnsi="Arial" w:cs="Arial"/>
          <w:sz w:val="24"/>
        </w:rPr>
        <w:t>before the end of the year</w:t>
      </w:r>
      <w:r w:rsidRPr="00632C83">
        <w:rPr>
          <w:rFonts w:ascii="Arial" w:hAnsi="Arial" w:cs="Arial"/>
          <w:sz w:val="24"/>
        </w:rPr>
        <w:t xml:space="preserve">. </w:t>
      </w:r>
    </w:p>
    <w:p w:rsidR="00F4172C" w:rsidRPr="00632C83" w:rsidRDefault="00CF0864" w:rsidP="00632C83">
      <w:pPr>
        <w:pStyle w:val="NoSpacing"/>
        <w:numPr>
          <w:ilvl w:val="0"/>
          <w:numId w:val="59"/>
        </w:numPr>
        <w:rPr>
          <w:rFonts w:ascii="Arial" w:hAnsi="Arial" w:cs="Arial"/>
          <w:sz w:val="24"/>
        </w:rPr>
      </w:pPr>
      <w:r w:rsidRPr="00632C83">
        <w:rPr>
          <w:rFonts w:ascii="Arial" w:hAnsi="Arial" w:cs="Arial"/>
          <w:sz w:val="24"/>
        </w:rPr>
        <w:t>With many economic and geopolitical factors at play,</w:t>
      </w:r>
      <w:r w:rsidR="00F4172C" w:rsidRPr="00632C83">
        <w:rPr>
          <w:rFonts w:ascii="Arial" w:hAnsi="Arial" w:cs="Arial"/>
          <w:sz w:val="24"/>
        </w:rPr>
        <w:t xml:space="preserve"> interest rates have </w:t>
      </w:r>
      <w:r w:rsidRPr="00632C83">
        <w:rPr>
          <w:rFonts w:ascii="Arial" w:hAnsi="Arial" w:cs="Arial"/>
          <w:sz w:val="24"/>
        </w:rPr>
        <w:t>fluctuated</w:t>
      </w:r>
      <w:r w:rsidR="00F4172C" w:rsidRPr="00632C83">
        <w:rPr>
          <w:rFonts w:ascii="Arial" w:hAnsi="Arial" w:cs="Arial"/>
          <w:sz w:val="24"/>
        </w:rPr>
        <w:t xml:space="preserve"> from week to week. </w:t>
      </w:r>
      <w:r w:rsidRPr="00632C83">
        <w:rPr>
          <w:rFonts w:ascii="Arial" w:hAnsi="Arial" w:cs="Arial"/>
          <w:sz w:val="24"/>
        </w:rPr>
        <w:t>However, Drabik believes the long-</w:t>
      </w:r>
      <w:r w:rsidR="00F4172C" w:rsidRPr="00632C83">
        <w:rPr>
          <w:rFonts w:ascii="Arial" w:hAnsi="Arial" w:cs="Arial"/>
          <w:sz w:val="24"/>
        </w:rPr>
        <w:t xml:space="preserve">term </w:t>
      </w:r>
      <w:r w:rsidRPr="00632C83">
        <w:rPr>
          <w:rFonts w:ascii="Arial" w:hAnsi="Arial" w:cs="Arial"/>
          <w:sz w:val="24"/>
        </w:rPr>
        <w:t>outlook</w:t>
      </w:r>
      <w:r w:rsidR="00F4172C" w:rsidRPr="00632C83">
        <w:rPr>
          <w:rFonts w:ascii="Arial" w:hAnsi="Arial" w:cs="Arial"/>
          <w:sz w:val="24"/>
        </w:rPr>
        <w:t xml:space="preserve"> continues to reflect lower rates </w:t>
      </w:r>
      <w:r w:rsidRPr="00632C83">
        <w:rPr>
          <w:rFonts w:ascii="Arial" w:hAnsi="Arial" w:cs="Arial"/>
          <w:sz w:val="24"/>
        </w:rPr>
        <w:t>as, for example</w:t>
      </w:r>
      <w:r w:rsidR="0037569A" w:rsidRPr="00632C83">
        <w:rPr>
          <w:rFonts w:ascii="Arial" w:hAnsi="Arial" w:cs="Arial"/>
          <w:sz w:val="24"/>
        </w:rPr>
        <w:t>, the 10-</w:t>
      </w:r>
      <w:r w:rsidR="00F4172C" w:rsidRPr="00632C83">
        <w:rPr>
          <w:rFonts w:ascii="Arial" w:hAnsi="Arial" w:cs="Arial"/>
          <w:sz w:val="24"/>
        </w:rPr>
        <w:t xml:space="preserve">year Treasury has rallied </w:t>
      </w:r>
      <w:r w:rsidR="0037569A" w:rsidRPr="00632C83">
        <w:rPr>
          <w:rFonts w:ascii="Arial" w:hAnsi="Arial" w:cs="Arial"/>
          <w:sz w:val="24"/>
        </w:rPr>
        <w:t>and pushed</w:t>
      </w:r>
      <w:r w:rsidR="00F4172C" w:rsidRPr="00632C83">
        <w:rPr>
          <w:rFonts w:ascii="Arial" w:hAnsi="Arial" w:cs="Arial"/>
          <w:sz w:val="24"/>
        </w:rPr>
        <w:t xml:space="preserve"> rates down 35% year-to-date. </w:t>
      </w:r>
    </w:p>
    <w:p w:rsidR="00D84E88" w:rsidRDefault="00D84E88" w:rsidP="00641298">
      <w:pPr>
        <w:pStyle w:val="NoSpacing"/>
        <w:rPr>
          <w:rFonts w:ascii="Arial" w:hAnsi="Arial" w:cs="Arial"/>
          <w:b/>
          <w:sz w:val="28"/>
          <w:szCs w:val="24"/>
        </w:rPr>
      </w:pPr>
    </w:p>
    <w:p w:rsidR="00EA7E50" w:rsidRPr="00E6466F" w:rsidRDefault="00EA7E50" w:rsidP="00641298">
      <w:pPr>
        <w:pStyle w:val="NoSpacing"/>
        <w:rPr>
          <w:rFonts w:ascii="Arial" w:hAnsi="Arial" w:cs="Arial"/>
          <w:b/>
          <w:sz w:val="28"/>
          <w:szCs w:val="24"/>
        </w:rPr>
      </w:pPr>
    </w:p>
    <w:p w:rsidR="00146937" w:rsidRPr="00450EA1" w:rsidRDefault="00FE65A5" w:rsidP="00450EA1">
      <w:pPr>
        <w:rPr>
          <w:rFonts w:ascii="Arial" w:hAnsi="Arial" w:cs="Arial"/>
          <w:b/>
          <w:sz w:val="24"/>
          <w:szCs w:val="24"/>
        </w:rPr>
      </w:pPr>
      <w:r>
        <w:rPr>
          <w:rFonts w:ascii="Arial" w:hAnsi="Arial" w:cs="Arial"/>
          <w:b/>
          <w:sz w:val="24"/>
          <w:szCs w:val="24"/>
        </w:rPr>
        <w:t>International</w:t>
      </w:r>
    </w:p>
    <w:p w:rsidR="00665717" w:rsidRPr="00665717" w:rsidRDefault="00665717" w:rsidP="00665717">
      <w:pPr>
        <w:pStyle w:val="NoSpacing"/>
        <w:numPr>
          <w:ilvl w:val="0"/>
          <w:numId w:val="58"/>
        </w:numPr>
        <w:rPr>
          <w:rFonts w:ascii="Arial" w:hAnsi="Arial" w:cs="Arial"/>
          <w:sz w:val="24"/>
        </w:rPr>
      </w:pPr>
      <w:r w:rsidRPr="00632C83">
        <w:rPr>
          <w:rFonts w:ascii="Arial" w:hAnsi="Arial" w:cs="Arial"/>
          <w:sz w:val="24"/>
        </w:rPr>
        <w:t>Year-to-date, 46 central banks around the globe have cut interest rates. In addition, key banks such as the European Central Bank (ECB) have announced yet</w:t>
      </w:r>
      <w:r>
        <w:rPr>
          <w:rFonts w:ascii="Arial" w:hAnsi="Arial" w:cs="Arial"/>
          <w:sz w:val="24"/>
        </w:rPr>
        <w:t xml:space="preserve"> another asset purchase program, </w:t>
      </w:r>
      <w:r w:rsidR="007F1824">
        <w:rPr>
          <w:rFonts w:ascii="Arial" w:hAnsi="Arial" w:cs="Arial"/>
          <w:sz w:val="24"/>
        </w:rPr>
        <w:t>Drabik</w:t>
      </w:r>
      <w:r>
        <w:rPr>
          <w:rFonts w:ascii="Arial" w:hAnsi="Arial" w:cs="Arial"/>
          <w:sz w:val="24"/>
        </w:rPr>
        <w:t xml:space="preserve"> reports.</w:t>
      </w:r>
      <w:r w:rsidRPr="00632C83">
        <w:rPr>
          <w:rFonts w:ascii="Arial" w:hAnsi="Arial" w:cs="Arial"/>
          <w:sz w:val="24"/>
        </w:rPr>
        <w:t xml:space="preserve"> The combined balance sheets of the ECB, Fed, Bank of Japan and People’s Bank of China ha</w:t>
      </w:r>
      <w:r w:rsidR="0024087D">
        <w:rPr>
          <w:rFonts w:ascii="Arial" w:hAnsi="Arial" w:cs="Arial"/>
          <w:sz w:val="24"/>
        </w:rPr>
        <w:t>ve</w:t>
      </w:r>
      <w:r w:rsidRPr="00632C83">
        <w:rPr>
          <w:rFonts w:ascii="Arial" w:hAnsi="Arial" w:cs="Arial"/>
          <w:sz w:val="24"/>
        </w:rPr>
        <w:t xml:space="preserve"> ballooned to nearly $19.4 trillion. This has been a key factor in bringing interest rates down and will continue to affect rates as long as this accommodative monetary practice continues. </w:t>
      </w:r>
    </w:p>
    <w:p w:rsidR="00F4172C" w:rsidRPr="00921E65" w:rsidRDefault="00F4172C" w:rsidP="00632C83">
      <w:pPr>
        <w:pStyle w:val="NormalWeb"/>
        <w:numPr>
          <w:ilvl w:val="0"/>
          <w:numId w:val="58"/>
        </w:numPr>
        <w:rPr>
          <w:rFonts w:ascii="Arial" w:hAnsi="Arial" w:cs="Arial"/>
          <w:color w:val="000000"/>
        </w:rPr>
      </w:pPr>
      <w:r w:rsidRPr="00921E65">
        <w:rPr>
          <w:rFonts w:ascii="Arial" w:hAnsi="Arial" w:cs="Arial"/>
          <w:color w:val="000000"/>
        </w:rPr>
        <w:t xml:space="preserve">Despite continued uncertainty over </w:t>
      </w:r>
      <w:proofErr w:type="spellStart"/>
      <w:r w:rsidRPr="00921E65">
        <w:rPr>
          <w:rFonts w:ascii="Arial" w:hAnsi="Arial" w:cs="Arial"/>
          <w:color w:val="000000"/>
        </w:rPr>
        <w:t>Brexit</w:t>
      </w:r>
      <w:proofErr w:type="spellEnd"/>
      <w:r w:rsidR="002A2138" w:rsidRPr="00921E65">
        <w:rPr>
          <w:rFonts w:ascii="Arial" w:hAnsi="Arial" w:cs="Arial"/>
          <w:color w:val="000000"/>
        </w:rPr>
        <w:t xml:space="preserve"> in the U.K.,</w:t>
      </w:r>
      <w:r w:rsidRPr="00921E65">
        <w:rPr>
          <w:rFonts w:ascii="Arial" w:hAnsi="Arial" w:cs="Arial"/>
          <w:color w:val="000000"/>
        </w:rPr>
        <w:t xml:space="preserve"> the pan-European equity markets in September had their best monthly performance since June</w:t>
      </w:r>
      <w:r w:rsidR="008A4640">
        <w:rPr>
          <w:rFonts w:ascii="Arial" w:hAnsi="Arial" w:cs="Arial"/>
          <w:color w:val="000000"/>
        </w:rPr>
        <w:t>,</w:t>
      </w:r>
      <w:r w:rsidR="002A2138" w:rsidRPr="00921E65">
        <w:rPr>
          <w:rFonts w:ascii="Arial" w:hAnsi="Arial" w:cs="Arial"/>
          <w:color w:val="000000"/>
        </w:rPr>
        <w:t xml:space="preserve"> report</w:t>
      </w:r>
      <w:r w:rsidR="0037569A" w:rsidRPr="00921E65">
        <w:rPr>
          <w:rFonts w:ascii="Arial" w:hAnsi="Arial" w:cs="Arial"/>
          <w:color w:val="000000"/>
        </w:rPr>
        <w:t>s</w:t>
      </w:r>
      <w:r w:rsidR="002A2138" w:rsidRPr="00921E65">
        <w:rPr>
          <w:rFonts w:ascii="Arial" w:hAnsi="Arial" w:cs="Arial"/>
          <w:color w:val="000000"/>
        </w:rPr>
        <w:t xml:space="preserve"> European Strategist Chris Bailey.</w:t>
      </w:r>
      <w:r w:rsidRPr="00921E65">
        <w:rPr>
          <w:rFonts w:ascii="Arial" w:hAnsi="Arial" w:cs="Arial"/>
          <w:color w:val="000000"/>
        </w:rPr>
        <w:t xml:space="preserve"> </w:t>
      </w:r>
      <w:r w:rsidR="0037569A" w:rsidRPr="00921E65">
        <w:rPr>
          <w:rFonts w:ascii="Arial" w:hAnsi="Arial" w:cs="Arial"/>
          <w:color w:val="000000"/>
        </w:rPr>
        <w:t>He says this</w:t>
      </w:r>
      <w:r w:rsidRPr="00921E65">
        <w:rPr>
          <w:rFonts w:ascii="Arial" w:hAnsi="Arial" w:cs="Arial"/>
          <w:color w:val="000000"/>
        </w:rPr>
        <w:t xml:space="preserve"> was aid</w:t>
      </w:r>
      <w:r w:rsidR="0037569A" w:rsidRPr="00921E65">
        <w:rPr>
          <w:rFonts w:ascii="Arial" w:hAnsi="Arial" w:cs="Arial"/>
          <w:color w:val="000000"/>
        </w:rPr>
        <w:t xml:space="preserve">ed by the European Central Bank’s </w:t>
      </w:r>
      <w:r w:rsidRPr="00921E65">
        <w:rPr>
          <w:rFonts w:ascii="Arial" w:hAnsi="Arial" w:cs="Arial"/>
          <w:color w:val="000000"/>
        </w:rPr>
        <w:t>quantitative easing efforts</w:t>
      </w:r>
      <w:r w:rsidR="0037569A" w:rsidRPr="00921E65">
        <w:rPr>
          <w:rFonts w:ascii="Arial" w:hAnsi="Arial" w:cs="Arial"/>
          <w:color w:val="000000"/>
        </w:rPr>
        <w:t xml:space="preserve">. </w:t>
      </w:r>
    </w:p>
    <w:p w:rsidR="00921E65" w:rsidRPr="00921E65" w:rsidRDefault="00F4172C" w:rsidP="00632C83">
      <w:pPr>
        <w:pStyle w:val="NormalWeb"/>
        <w:numPr>
          <w:ilvl w:val="0"/>
          <w:numId w:val="58"/>
        </w:numPr>
        <w:rPr>
          <w:rFonts w:ascii="Arial" w:hAnsi="Arial" w:cs="Arial"/>
          <w:color w:val="000000"/>
        </w:rPr>
      </w:pPr>
      <w:r w:rsidRPr="00921E65">
        <w:rPr>
          <w:rFonts w:ascii="Arial" w:hAnsi="Arial" w:cs="Arial"/>
          <w:color w:val="000000"/>
        </w:rPr>
        <w:t>Chinese economic data continued to slow during September</w:t>
      </w:r>
      <w:r w:rsidR="0024087D">
        <w:rPr>
          <w:rFonts w:ascii="Arial" w:hAnsi="Arial" w:cs="Arial"/>
          <w:color w:val="000000"/>
        </w:rPr>
        <w:t>,</w:t>
      </w:r>
      <w:r w:rsidRPr="00921E65">
        <w:rPr>
          <w:rFonts w:ascii="Arial" w:hAnsi="Arial" w:cs="Arial"/>
          <w:color w:val="000000"/>
        </w:rPr>
        <w:t xml:space="preserve"> and the country</w:t>
      </w:r>
      <w:r w:rsidR="0024087D">
        <w:rPr>
          <w:rFonts w:ascii="Arial" w:hAnsi="Arial" w:cs="Arial"/>
          <w:color w:val="000000"/>
        </w:rPr>
        <w:t>’</w:t>
      </w:r>
      <w:r w:rsidRPr="00921E65">
        <w:rPr>
          <w:rFonts w:ascii="Arial" w:hAnsi="Arial" w:cs="Arial"/>
          <w:color w:val="000000"/>
        </w:rPr>
        <w:t xml:space="preserve">s policymakers also loosened </w:t>
      </w:r>
      <w:r w:rsidR="002B2773">
        <w:rPr>
          <w:rFonts w:ascii="Arial" w:hAnsi="Arial" w:cs="Arial"/>
          <w:color w:val="000000"/>
        </w:rPr>
        <w:t xml:space="preserve">policy around </w:t>
      </w:r>
      <w:r w:rsidRPr="00921E65">
        <w:rPr>
          <w:rFonts w:ascii="Arial" w:hAnsi="Arial" w:cs="Arial"/>
          <w:color w:val="000000"/>
        </w:rPr>
        <w:t>both monetary</w:t>
      </w:r>
      <w:r w:rsidR="0037569A" w:rsidRPr="00921E65">
        <w:rPr>
          <w:rFonts w:ascii="Arial" w:hAnsi="Arial" w:cs="Arial"/>
          <w:color w:val="000000"/>
        </w:rPr>
        <w:t xml:space="preserve"> and fiscal initiatives.</w:t>
      </w:r>
      <w:r w:rsidRPr="00921E65">
        <w:rPr>
          <w:rFonts w:ascii="Arial" w:hAnsi="Arial" w:cs="Arial"/>
          <w:color w:val="000000"/>
        </w:rPr>
        <w:t xml:space="preserve"> </w:t>
      </w:r>
      <w:r w:rsidR="00921E65">
        <w:rPr>
          <w:rFonts w:ascii="Arial" w:hAnsi="Arial" w:cs="Arial"/>
          <w:color w:val="000000"/>
        </w:rPr>
        <w:t>L</w:t>
      </w:r>
      <w:r w:rsidRPr="00921E65">
        <w:rPr>
          <w:rFonts w:ascii="Arial" w:hAnsi="Arial" w:cs="Arial"/>
          <w:color w:val="000000"/>
        </w:rPr>
        <w:t>ocal</w:t>
      </w:r>
      <w:r w:rsidR="0037569A" w:rsidRPr="00921E65">
        <w:rPr>
          <w:rFonts w:ascii="Arial" w:hAnsi="Arial" w:cs="Arial"/>
          <w:color w:val="000000"/>
        </w:rPr>
        <w:t xml:space="preserve"> Asian markets </w:t>
      </w:r>
      <w:r w:rsidR="008A4640">
        <w:rPr>
          <w:rFonts w:ascii="Arial" w:hAnsi="Arial" w:cs="Arial"/>
          <w:color w:val="000000"/>
        </w:rPr>
        <w:t xml:space="preserve">were </w:t>
      </w:r>
      <w:r w:rsidR="0037569A" w:rsidRPr="00921E65">
        <w:rPr>
          <w:rFonts w:ascii="Arial" w:hAnsi="Arial" w:cs="Arial"/>
          <w:color w:val="000000"/>
        </w:rPr>
        <w:t xml:space="preserve">buoyed </w:t>
      </w:r>
      <w:r w:rsidR="008A4640">
        <w:rPr>
          <w:rFonts w:ascii="Arial" w:hAnsi="Arial" w:cs="Arial"/>
          <w:color w:val="000000"/>
        </w:rPr>
        <w:t>by perceived warmth between the</w:t>
      </w:r>
      <w:r w:rsidR="0037569A" w:rsidRPr="00921E65">
        <w:rPr>
          <w:rFonts w:ascii="Arial" w:hAnsi="Arial" w:cs="Arial"/>
          <w:color w:val="000000"/>
        </w:rPr>
        <w:t xml:space="preserve"> U.S. and China regarding trade</w:t>
      </w:r>
      <w:r w:rsidR="008A4640">
        <w:rPr>
          <w:rFonts w:ascii="Arial" w:hAnsi="Arial" w:cs="Arial"/>
          <w:color w:val="000000"/>
        </w:rPr>
        <w:t>,</w:t>
      </w:r>
      <w:r w:rsidRPr="00921E65">
        <w:rPr>
          <w:rFonts w:ascii="Arial" w:hAnsi="Arial" w:cs="Arial"/>
          <w:color w:val="000000"/>
        </w:rPr>
        <w:t xml:space="preserve"> </w:t>
      </w:r>
      <w:r w:rsidR="007F1824">
        <w:rPr>
          <w:rFonts w:ascii="Arial" w:hAnsi="Arial" w:cs="Arial"/>
          <w:color w:val="000000"/>
        </w:rPr>
        <w:t>and</w:t>
      </w:r>
      <w:r w:rsidR="008E357B">
        <w:rPr>
          <w:rFonts w:ascii="Arial" w:hAnsi="Arial" w:cs="Arial"/>
          <w:color w:val="000000"/>
        </w:rPr>
        <w:t xml:space="preserve"> </w:t>
      </w:r>
      <w:r w:rsidR="0037569A" w:rsidRPr="00921E65">
        <w:rPr>
          <w:rFonts w:ascii="Arial" w:hAnsi="Arial" w:cs="Arial"/>
          <w:color w:val="000000"/>
        </w:rPr>
        <w:t>a</w:t>
      </w:r>
      <w:r w:rsidRPr="00921E65">
        <w:rPr>
          <w:rFonts w:ascii="Arial" w:hAnsi="Arial" w:cs="Arial"/>
          <w:color w:val="000000"/>
        </w:rPr>
        <w:t xml:space="preserve"> trade deal between the Un</w:t>
      </w:r>
      <w:r w:rsidR="00921E65" w:rsidRPr="00921E65">
        <w:rPr>
          <w:rFonts w:ascii="Arial" w:hAnsi="Arial" w:cs="Arial"/>
          <w:color w:val="000000"/>
        </w:rPr>
        <w:t>ited States and Japan</w:t>
      </w:r>
      <w:r w:rsidR="007F1824">
        <w:rPr>
          <w:rFonts w:ascii="Arial" w:hAnsi="Arial" w:cs="Arial"/>
          <w:color w:val="000000"/>
        </w:rPr>
        <w:t xml:space="preserve"> was signed</w:t>
      </w:r>
      <w:r w:rsidRPr="00921E65">
        <w:rPr>
          <w:rFonts w:ascii="Arial" w:hAnsi="Arial" w:cs="Arial"/>
          <w:color w:val="000000"/>
        </w:rPr>
        <w:t>. </w:t>
      </w:r>
    </w:p>
    <w:p w:rsidR="00F4172C" w:rsidRPr="00921E65" w:rsidRDefault="00921E65" w:rsidP="00632C83">
      <w:pPr>
        <w:pStyle w:val="NormalWeb"/>
        <w:numPr>
          <w:ilvl w:val="0"/>
          <w:numId w:val="58"/>
        </w:numPr>
        <w:rPr>
          <w:rFonts w:ascii="Arial" w:hAnsi="Arial" w:cs="Arial"/>
          <w:color w:val="000000"/>
        </w:rPr>
      </w:pPr>
      <w:r w:rsidRPr="00921E65">
        <w:rPr>
          <w:rFonts w:ascii="Arial" w:hAnsi="Arial" w:cs="Arial"/>
          <w:color w:val="000000"/>
        </w:rPr>
        <w:t xml:space="preserve">Global markets </w:t>
      </w:r>
      <w:r w:rsidR="00F4172C" w:rsidRPr="00921E65">
        <w:rPr>
          <w:rFonts w:ascii="Arial" w:hAnsi="Arial" w:cs="Arial"/>
          <w:color w:val="000000"/>
        </w:rPr>
        <w:t>continue to offer typically lower valuat</w:t>
      </w:r>
      <w:r w:rsidRPr="00921E65">
        <w:rPr>
          <w:rFonts w:ascii="Arial" w:hAnsi="Arial" w:cs="Arial"/>
          <w:color w:val="000000"/>
        </w:rPr>
        <w:t>ions and higher dividend yields,</w:t>
      </w:r>
      <w:r>
        <w:rPr>
          <w:rFonts w:ascii="Arial" w:hAnsi="Arial" w:cs="Arial"/>
          <w:color w:val="000000"/>
        </w:rPr>
        <w:t xml:space="preserve"> says Bailey,</w:t>
      </w:r>
      <w:r w:rsidRPr="00921E65">
        <w:rPr>
          <w:rFonts w:ascii="Arial" w:hAnsi="Arial" w:cs="Arial"/>
          <w:color w:val="000000"/>
        </w:rPr>
        <w:t xml:space="preserve"> </w:t>
      </w:r>
      <w:r w:rsidR="00DA3627">
        <w:rPr>
          <w:rFonts w:ascii="Arial" w:hAnsi="Arial" w:cs="Arial"/>
          <w:color w:val="000000"/>
        </w:rPr>
        <w:t>although they are</w:t>
      </w:r>
      <w:r w:rsidR="00DA3627" w:rsidRPr="00921E65">
        <w:rPr>
          <w:rFonts w:ascii="Arial" w:hAnsi="Arial" w:cs="Arial"/>
          <w:color w:val="000000"/>
        </w:rPr>
        <w:t xml:space="preserve"> </w:t>
      </w:r>
      <w:r w:rsidR="00F4172C" w:rsidRPr="00921E65">
        <w:rPr>
          <w:rFonts w:ascii="Arial" w:hAnsi="Arial" w:cs="Arial"/>
          <w:color w:val="000000"/>
        </w:rPr>
        <w:t>based in economies where</w:t>
      </w:r>
      <w:r w:rsidR="00DA3627">
        <w:rPr>
          <w:rFonts w:ascii="Arial" w:hAnsi="Arial" w:cs="Arial"/>
          <w:color w:val="000000"/>
        </w:rPr>
        <w:t xml:space="preserve"> global investors remain concerned</w:t>
      </w:r>
      <w:r w:rsidR="00F4172C" w:rsidRPr="00921E65">
        <w:rPr>
          <w:rFonts w:ascii="Arial" w:hAnsi="Arial" w:cs="Arial"/>
          <w:color w:val="000000"/>
        </w:rPr>
        <w:t xml:space="preserve"> about </w:t>
      </w:r>
      <w:r w:rsidR="00DA3627">
        <w:rPr>
          <w:rFonts w:ascii="Arial" w:hAnsi="Arial" w:cs="Arial"/>
          <w:color w:val="000000"/>
        </w:rPr>
        <w:t xml:space="preserve">the potential for future </w:t>
      </w:r>
      <w:r w:rsidR="00F4172C" w:rsidRPr="00921E65">
        <w:rPr>
          <w:rFonts w:ascii="Arial" w:hAnsi="Arial" w:cs="Arial"/>
          <w:color w:val="000000"/>
        </w:rPr>
        <w:t>growth. </w:t>
      </w:r>
    </w:p>
    <w:p w:rsidR="00665717" w:rsidRDefault="00665717" w:rsidP="0098172C">
      <w:pPr>
        <w:pStyle w:val="PlainText"/>
        <w:rPr>
          <w:rFonts w:ascii="Arial" w:hAnsi="Arial" w:cs="Arial"/>
          <w:b/>
          <w:sz w:val="24"/>
          <w:szCs w:val="24"/>
        </w:rPr>
      </w:pPr>
    </w:p>
    <w:p w:rsidR="00A16323" w:rsidRPr="00B46CDB" w:rsidRDefault="00A16323" w:rsidP="0098172C">
      <w:pPr>
        <w:pStyle w:val="PlainText"/>
        <w:rPr>
          <w:rFonts w:ascii="Arial" w:hAnsi="Arial" w:cs="Arial"/>
          <w:sz w:val="24"/>
          <w:szCs w:val="24"/>
        </w:rPr>
      </w:pPr>
      <w:r w:rsidRPr="00B46CDB">
        <w:rPr>
          <w:rFonts w:ascii="Arial" w:hAnsi="Arial" w:cs="Arial"/>
          <w:b/>
          <w:sz w:val="24"/>
          <w:szCs w:val="24"/>
        </w:rPr>
        <w:t>Bottom line</w:t>
      </w:r>
    </w:p>
    <w:p w:rsidR="00631002" w:rsidRDefault="00631002" w:rsidP="00AF1426">
      <w:pPr>
        <w:spacing w:after="0" w:line="240" w:lineRule="auto"/>
        <w:rPr>
          <w:color w:val="1F497D"/>
        </w:rPr>
      </w:pPr>
    </w:p>
    <w:p w:rsidR="00EB7911" w:rsidRDefault="00EB7911" w:rsidP="00EB7911">
      <w:pPr>
        <w:pStyle w:val="ListParagraph"/>
        <w:numPr>
          <w:ilvl w:val="0"/>
          <w:numId w:val="55"/>
        </w:numPr>
        <w:spacing w:after="0" w:line="240" w:lineRule="auto"/>
        <w:rPr>
          <w:rFonts w:ascii="Arial" w:hAnsi="Arial" w:cs="Arial"/>
          <w:sz w:val="24"/>
          <w:szCs w:val="24"/>
        </w:rPr>
      </w:pPr>
      <w:r>
        <w:rPr>
          <w:rFonts w:ascii="Arial" w:hAnsi="Arial" w:cs="Arial"/>
          <w:sz w:val="24"/>
          <w:szCs w:val="24"/>
        </w:rPr>
        <w:t xml:space="preserve">As trade negotiations and global affairs progress, we’ll be keeping an eye out for movements that might particularly affect investors and their financial plans. </w:t>
      </w:r>
    </w:p>
    <w:p w:rsidR="00EB7911" w:rsidRDefault="00EB7911" w:rsidP="00EB7911">
      <w:pPr>
        <w:pStyle w:val="ListParagraph"/>
        <w:numPr>
          <w:ilvl w:val="0"/>
          <w:numId w:val="55"/>
        </w:numPr>
        <w:rPr>
          <w:rFonts w:ascii="Arial" w:hAnsi="Arial" w:cs="Arial"/>
          <w:sz w:val="24"/>
          <w:szCs w:val="24"/>
        </w:rPr>
      </w:pPr>
      <w:proofErr w:type="spellStart"/>
      <w:r w:rsidRPr="00EB7911">
        <w:rPr>
          <w:rFonts w:ascii="Arial" w:hAnsi="Arial" w:cs="Arial"/>
          <w:sz w:val="24"/>
          <w:szCs w:val="24"/>
        </w:rPr>
        <w:t>Madere</w:t>
      </w:r>
      <w:proofErr w:type="spellEnd"/>
      <w:r w:rsidRPr="00EB7911">
        <w:rPr>
          <w:rFonts w:ascii="Arial" w:hAnsi="Arial" w:cs="Arial"/>
          <w:sz w:val="24"/>
          <w:szCs w:val="24"/>
        </w:rPr>
        <w:t xml:space="preserve"> recommends </w:t>
      </w:r>
      <w:r>
        <w:rPr>
          <w:rFonts w:ascii="Arial" w:hAnsi="Arial" w:cs="Arial"/>
          <w:sz w:val="24"/>
          <w:szCs w:val="24"/>
        </w:rPr>
        <w:t xml:space="preserve">that </w:t>
      </w:r>
      <w:r w:rsidRPr="00EB7911">
        <w:rPr>
          <w:rFonts w:ascii="Arial" w:hAnsi="Arial" w:cs="Arial"/>
          <w:sz w:val="24"/>
          <w:szCs w:val="24"/>
        </w:rPr>
        <w:t xml:space="preserve">investors keep an eye out for buying opportunities during potential volatility related to impeachment proceedings. </w:t>
      </w:r>
    </w:p>
    <w:p w:rsidR="00450EA1" w:rsidRDefault="00450EA1" w:rsidP="00AF1426">
      <w:pPr>
        <w:spacing w:after="0" w:line="240" w:lineRule="auto"/>
        <w:rPr>
          <w:rFonts w:ascii="Arial" w:hAnsi="Arial" w:cs="Arial"/>
          <w:sz w:val="24"/>
          <w:szCs w:val="24"/>
        </w:rPr>
      </w:pPr>
    </w:p>
    <w:p w:rsidR="00DF4ED1" w:rsidRPr="00035E82" w:rsidRDefault="00DF4ED1" w:rsidP="00DF4ED1">
      <w:pPr>
        <w:spacing w:after="0" w:line="240" w:lineRule="auto"/>
        <w:rPr>
          <w:rFonts w:ascii="Arial" w:hAnsi="Arial" w:cs="Arial"/>
          <w:b/>
          <w:i/>
          <w:color w:val="FF0000"/>
          <w:sz w:val="24"/>
          <w:szCs w:val="24"/>
        </w:rPr>
      </w:pPr>
      <w:r w:rsidRPr="00035E82">
        <w:rPr>
          <w:rFonts w:ascii="Arial" w:hAnsi="Arial" w:cs="Arial"/>
          <w:color w:val="000000"/>
          <w:sz w:val="24"/>
          <w:szCs w:val="24"/>
        </w:rPr>
        <w:t>Please let me know if you have any questions about recent market events or how to position your long-term financial plan for the months ahead. I look forward to speaking with you.</w:t>
      </w:r>
      <w:r w:rsidR="0085554E" w:rsidRPr="00035E82">
        <w:rPr>
          <w:rFonts w:ascii="Arial" w:hAnsi="Arial" w:cs="Arial"/>
          <w:sz w:val="24"/>
          <w:szCs w:val="24"/>
        </w:rPr>
        <w:t xml:space="preserve"> </w:t>
      </w:r>
    </w:p>
    <w:p w:rsidR="00DF4ED1" w:rsidRPr="00035E82" w:rsidRDefault="00DF4ED1" w:rsidP="00DF4ED1">
      <w:pPr>
        <w:spacing w:after="0" w:line="240" w:lineRule="auto"/>
        <w:rPr>
          <w:rFonts w:ascii="Arial" w:hAnsi="Arial" w:cs="Arial"/>
          <w:b/>
          <w:i/>
          <w:color w:val="FF0000"/>
          <w:sz w:val="24"/>
          <w:szCs w:val="24"/>
          <w:highlight w:val="yellow"/>
        </w:rPr>
      </w:pPr>
    </w:p>
    <w:p w:rsidR="00D82332" w:rsidRDefault="00D82332" w:rsidP="00A16323">
      <w:pPr>
        <w:rPr>
          <w:rFonts w:ascii="Arial" w:hAnsi="Arial" w:cs="Arial"/>
          <w:sz w:val="18"/>
          <w:szCs w:val="24"/>
        </w:rPr>
      </w:pPr>
    </w:p>
    <w:p w:rsidR="00A16323" w:rsidRPr="002745A3" w:rsidRDefault="00A16323" w:rsidP="00A16323">
      <w:pPr>
        <w:rPr>
          <w:rFonts w:ascii="Arial" w:hAnsi="Arial" w:cs="Arial"/>
          <w:sz w:val="18"/>
          <w:szCs w:val="24"/>
        </w:rPr>
      </w:pPr>
      <w:r w:rsidRPr="002745A3">
        <w:rPr>
          <w:rFonts w:ascii="Arial" w:hAnsi="Arial" w:cs="Arial"/>
          <w:sz w:val="18"/>
          <w:szCs w:val="24"/>
        </w:rPr>
        <w:lastRenderedPageBreak/>
        <w:t xml:space="preserve">Investing involves risk, and investors may incur a profit or a loss. All expressions of opinion reflect the judgment of the Research Department of Raymond James &amp; Associates, Inc., and are subject to change. Past performance is not an indication of future results and there is no assurance that any of the forecasts mentioned will occur. </w:t>
      </w:r>
      <w:r w:rsidR="00D071B9" w:rsidRPr="002745A3">
        <w:rPr>
          <w:rFonts w:ascii="Arial" w:hAnsi="Arial" w:cs="Arial"/>
          <w:sz w:val="18"/>
          <w:szCs w:val="24"/>
        </w:rPr>
        <w:t xml:space="preserve">The process of rebalancing may result in tax consequences. </w:t>
      </w:r>
      <w:r w:rsidRPr="002745A3">
        <w:rPr>
          <w:rFonts w:ascii="Arial" w:hAnsi="Arial" w:cs="Arial"/>
          <w:sz w:val="18"/>
          <w:szCs w:val="24"/>
        </w:rPr>
        <w:t xml:space="preserve">Economic and market conditions are subject to change. The Dow Jones Industrial Average is an unmanaged index of 30 widely held stocks. The NASDAQ Composite Index is an unmanaged index of all common stocks listed on the NASDAQ National Stock Market. The S&amp;P 500 is an unmanaged index of 500 widely held stocks. The MSCI EAFE (Europe, Australia, </w:t>
      </w:r>
      <w:proofErr w:type="gramStart"/>
      <w:r w:rsidRPr="002745A3">
        <w:rPr>
          <w:rFonts w:ascii="Arial" w:hAnsi="Arial" w:cs="Arial"/>
          <w:sz w:val="18"/>
          <w:szCs w:val="24"/>
        </w:rPr>
        <w:t>Far</w:t>
      </w:r>
      <w:proofErr w:type="gramEnd"/>
      <w:r w:rsidRPr="002745A3">
        <w:rPr>
          <w:rFonts w:ascii="Arial" w:hAnsi="Arial" w:cs="Arial"/>
          <w:sz w:val="18"/>
          <w:szCs w:val="24"/>
        </w:rPr>
        <w:t xml:space="preserve"> East) index is an unmanaged index that is generally considered representative of the international stock market. The Russell 2000 is an unmanaged index of small cap securities. The Bloomberg Barclays US Aggregate Bond Index is a broad-based flagship benchmark that measures the investment grade, U.S. dollar-denominated, fixed-rate taxable bond market.</w:t>
      </w:r>
      <w:r w:rsidR="00B32829" w:rsidRPr="00B32829">
        <w:t xml:space="preserve"> </w:t>
      </w:r>
      <w:r w:rsidR="00B32829" w:rsidRPr="00B32829">
        <w:rPr>
          <w:rFonts w:ascii="Arial" w:hAnsi="Arial" w:cs="Arial"/>
          <w:sz w:val="18"/>
          <w:szCs w:val="24"/>
        </w:rPr>
        <w:t>The Purchasing Managers Index (PMI) is a measure of the prevailing direction of economic trends in manufacturing.</w:t>
      </w:r>
      <w:r w:rsidRPr="002745A3">
        <w:rPr>
          <w:rFonts w:ascii="Arial" w:hAnsi="Arial" w:cs="Arial"/>
          <w:sz w:val="18"/>
          <w:szCs w:val="24"/>
        </w:rPr>
        <w:t xml:space="preserve"> An investment cannot be made in these indexes. International investing involves additional risks such as currency fluctuations, differing financial accounting standards, and possible political and economic instability. These risks are greater in emerging markets. Small and mid-cap securities generally involve greater risks. Companies engaged in business related to a specific sector are subject to fierce competition and their products and services may be subject to rapid obsolescence. There are additional risks associated with investing in an individual sector, including limited diversification. The performance noted does not include fees or charges, which would reduce an investor's returns. Asset allocation and diversification do not guarantee a profit nor protect against a loss. Debt securities are subject to credit risk. A downgrade in an issuer’s credit rating or other adverse news about an issuer can reduce the market value of that issuer’s securities. When interest rates rise, the market value of these bonds will decline, and vice versa. U.S. Treasury securities are guaranteed by the U.S. government and, if held to maturity, offer a fixed rate of return and guaranteed principal value. </w:t>
      </w:r>
      <w:r w:rsidR="00DD0115" w:rsidRPr="002745A3">
        <w:rPr>
          <w:rFonts w:ascii="Arial" w:hAnsi="Arial" w:cs="Arial"/>
          <w:sz w:val="18"/>
          <w:szCs w:val="24"/>
        </w:rPr>
        <w:t xml:space="preserve">The yield curve is a graphic depiction of the relationship between the yield on bonds of the same credit quality but different maturities. </w:t>
      </w:r>
      <w:r w:rsidR="00760CE4">
        <w:rPr>
          <w:rFonts w:ascii="Arial" w:hAnsi="Arial" w:cs="Arial"/>
          <w:sz w:val="18"/>
          <w:szCs w:val="24"/>
        </w:rPr>
        <w:t xml:space="preserve">Chris Bailey is with </w:t>
      </w:r>
      <w:r w:rsidR="00760CE4" w:rsidRPr="00760CE4">
        <w:rPr>
          <w:rFonts w:ascii="Arial" w:hAnsi="Arial" w:cs="Arial"/>
          <w:sz w:val="18"/>
          <w:szCs w:val="24"/>
        </w:rPr>
        <w:t>Raymond James Investment Services</w:t>
      </w:r>
      <w:r w:rsidRPr="002745A3">
        <w:rPr>
          <w:rFonts w:ascii="Arial" w:hAnsi="Arial" w:cs="Arial"/>
          <w:sz w:val="18"/>
          <w:szCs w:val="24"/>
        </w:rPr>
        <w:t xml:space="preserve">. Material prepared by Raymond James for use by its advisors. </w:t>
      </w:r>
    </w:p>
    <w:p w:rsidR="0059395B" w:rsidRPr="00AE2A2F" w:rsidRDefault="00A16323" w:rsidP="007D3D72">
      <w:pPr>
        <w:autoSpaceDE w:val="0"/>
        <w:autoSpaceDN w:val="0"/>
        <w:adjustRightInd w:val="0"/>
        <w:spacing w:after="0" w:line="240" w:lineRule="auto"/>
        <w:rPr>
          <w:rFonts w:ascii="Arial" w:hAnsi="Arial" w:cs="Arial"/>
          <w:color w:val="000000"/>
          <w:sz w:val="18"/>
          <w:szCs w:val="24"/>
        </w:rPr>
      </w:pPr>
      <w:r w:rsidRPr="002745A3">
        <w:rPr>
          <w:rFonts w:ascii="Arial" w:hAnsi="Arial" w:cs="Arial"/>
          <w:color w:val="000000"/>
          <w:sz w:val="18"/>
          <w:szCs w:val="24"/>
        </w:rPr>
        <w:t>© 201</w:t>
      </w:r>
      <w:r w:rsidR="00FC4D54" w:rsidRPr="002745A3">
        <w:rPr>
          <w:rFonts w:ascii="Arial" w:hAnsi="Arial" w:cs="Arial"/>
          <w:color w:val="000000"/>
          <w:sz w:val="18"/>
          <w:szCs w:val="24"/>
        </w:rPr>
        <w:t>9</w:t>
      </w:r>
      <w:r w:rsidRPr="002745A3">
        <w:rPr>
          <w:rFonts w:ascii="Arial" w:hAnsi="Arial" w:cs="Arial"/>
          <w:color w:val="000000"/>
          <w:sz w:val="18"/>
          <w:szCs w:val="24"/>
        </w:rPr>
        <w:t xml:space="preserve"> Raymond James &amp; Associates, Inc., member New York Stock Exchange/SIPC</w:t>
      </w:r>
      <w:bookmarkStart w:id="0" w:name="_GoBack"/>
      <w:bookmarkEnd w:id="0"/>
    </w:p>
    <w:sectPr w:rsidR="0059395B" w:rsidRPr="00AE2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635"/>
    <w:multiLevelType w:val="hybridMultilevel"/>
    <w:tmpl w:val="6D84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52E1"/>
    <w:multiLevelType w:val="hybridMultilevel"/>
    <w:tmpl w:val="7E5AC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0B7DE5"/>
    <w:multiLevelType w:val="hybridMultilevel"/>
    <w:tmpl w:val="0968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765C"/>
    <w:multiLevelType w:val="hybridMultilevel"/>
    <w:tmpl w:val="B440AE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4" w15:restartNumberingAfterBreak="0">
    <w:nsid w:val="075E40EE"/>
    <w:multiLevelType w:val="hybridMultilevel"/>
    <w:tmpl w:val="5B5C5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905A2"/>
    <w:multiLevelType w:val="hybridMultilevel"/>
    <w:tmpl w:val="8F0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B0B7E"/>
    <w:multiLevelType w:val="hybridMultilevel"/>
    <w:tmpl w:val="213A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F2268"/>
    <w:multiLevelType w:val="multilevel"/>
    <w:tmpl w:val="64B0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C4286"/>
    <w:multiLevelType w:val="multilevel"/>
    <w:tmpl w:val="AB92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83D06"/>
    <w:multiLevelType w:val="hybridMultilevel"/>
    <w:tmpl w:val="47A6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209A6"/>
    <w:multiLevelType w:val="hybridMultilevel"/>
    <w:tmpl w:val="A57E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26A2A"/>
    <w:multiLevelType w:val="hybridMultilevel"/>
    <w:tmpl w:val="1DA0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50201F"/>
    <w:multiLevelType w:val="hybridMultilevel"/>
    <w:tmpl w:val="D96A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81A48"/>
    <w:multiLevelType w:val="hybridMultilevel"/>
    <w:tmpl w:val="D82E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13A99"/>
    <w:multiLevelType w:val="hybridMultilevel"/>
    <w:tmpl w:val="8BA8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34F30"/>
    <w:multiLevelType w:val="hybridMultilevel"/>
    <w:tmpl w:val="77EC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B01783"/>
    <w:multiLevelType w:val="hybridMultilevel"/>
    <w:tmpl w:val="70665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DD2366"/>
    <w:multiLevelType w:val="hybridMultilevel"/>
    <w:tmpl w:val="888E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D2622"/>
    <w:multiLevelType w:val="hybridMultilevel"/>
    <w:tmpl w:val="3BE0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37D3535"/>
    <w:multiLevelType w:val="hybridMultilevel"/>
    <w:tmpl w:val="C3B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102746"/>
    <w:multiLevelType w:val="hybridMultilevel"/>
    <w:tmpl w:val="2B60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D758BA"/>
    <w:multiLevelType w:val="hybridMultilevel"/>
    <w:tmpl w:val="425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E1599"/>
    <w:multiLevelType w:val="hybridMultilevel"/>
    <w:tmpl w:val="72BA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836B95"/>
    <w:multiLevelType w:val="hybridMultilevel"/>
    <w:tmpl w:val="E262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0404FFF"/>
    <w:multiLevelType w:val="hybridMultilevel"/>
    <w:tmpl w:val="4924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202620"/>
    <w:multiLevelType w:val="hybridMultilevel"/>
    <w:tmpl w:val="95F0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68628F"/>
    <w:multiLevelType w:val="hybridMultilevel"/>
    <w:tmpl w:val="C9CA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084985"/>
    <w:multiLevelType w:val="hybridMultilevel"/>
    <w:tmpl w:val="9528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B3574"/>
    <w:multiLevelType w:val="hybridMultilevel"/>
    <w:tmpl w:val="4010F6AE"/>
    <w:lvl w:ilvl="0" w:tplc="AF6C2F2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E41767F"/>
    <w:multiLevelType w:val="hybridMultilevel"/>
    <w:tmpl w:val="5F34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27578"/>
    <w:multiLevelType w:val="hybridMultilevel"/>
    <w:tmpl w:val="AFD0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C42A0A"/>
    <w:multiLevelType w:val="hybridMultilevel"/>
    <w:tmpl w:val="04FC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B4188B"/>
    <w:multiLevelType w:val="hybridMultilevel"/>
    <w:tmpl w:val="8000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CC4323"/>
    <w:multiLevelType w:val="hybridMultilevel"/>
    <w:tmpl w:val="48B6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651E18"/>
    <w:multiLevelType w:val="hybridMultilevel"/>
    <w:tmpl w:val="4A92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033E8"/>
    <w:multiLevelType w:val="hybridMultilevel"/>
    <w:tmpl w:val="0302C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405761"/>
    <w:multiLevelType w:val="hybridMultilevel"/>
    <w:tmpl w:val="E47A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FC7789"/>
    <w:multiLevelType w:val="hybridMultilevel"/>
    <w:tmpl w:val="46FA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873370"/>
    <w:multiLevelType w:val="hybridMultilevel"/>
    <w:tmpl w:val="A9B0571A"/>
    <w:lvl w:ilvl="0" w:tplc="363A993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DE45BB"/>
    <w:multiLevelType w:val="hybridMultilevel"/>
    <w:tmpl w:val="9B24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3D3C7F"/>
    <w:multiLevelType w:val="hybridMultilevel"/>
    <w:tmpl w:val="1510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F33E49"/>
    <w:multiLevelType w:val="hybridMultilevel"/>
    <w:tmpl w:val="90FA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332789"/>
    <w:multiLevelType w:val="hybridMultilevel"/>
    <w:tmpl w:val="C5DE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E4C649B"/>
    <w:multiLevelType w:val="hybridMultilevel"/>
    <w:tmpl w:val="DA4E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202E8"/>
    <w:multiLevelType w:val="hybridMultilevel"/>
    <w:tmpl w:val="786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8D6906"/>
    <w:multiLevelType w:val="hybridMultilevel"/>
    <w:tmpl w:val="A144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B2490A"/>
    <w:multiLevelType w:val="hybridMultilevel"/>
    <w:tmpl w:val="3238DF7A"/>
    <w:lvl w:ilvl="0" w:tplc="176CD85E">
      <w:start w:val="9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4FA794F"/>
    <w:multiLevelType w:val="hybridMultilevel"/>
    <w:tmpl w:val="4D02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E044A6"/>
    <w:multiLevelType w:val="hybridMultilevel"/>
    <w:tmpl w:val="8A36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E2CC9"/>
    <w:multiLevelType w:val="hybridMultilevel"/>
    <w:tmpl w:val="ADC6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0203E7"/>
    <w:multiLevelType w:val="hybridMultilevel"/>
    <w:tmpl w:val="B67C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382C2D"/>
    <w:multiLevelType w:val="hybridMultilevel"/>
    <w:tmpl w:val="F14A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19"/>
  </w:num>
  <w:num w:numId="4">
    <w:abstractNumId w:val="36"/>
  </w:num>
  <w:num w:numId="5">
    <w:abstractNumId w:val="38"/>
  </w:num>
  <w:num w:numId="6">
    <w:abstractNumId w:val="38"/>
  </w:num>
  <w:num w:numId="7">
    <w:abstractNumId w:val="46"/>
  </w:num>
  <w:num w:numId="8">
    <w:abstractNumId w:val="29"/>
  </w:num>
  <w:num w:numId="9">
    <w:abstractNumId w:val="11"/>
  </w:num>
  <w:num w:numId="10">
    <w:abstractNumId w:val="20"/>
  </w:num>
  <w:num w:numId="11">
    <w:abstractNumId w:val="23"/>
  </w:num>
  <w:num w:numId="12">
    <w:abstractNumId w:val="40"/>
  </w:num>
  <w:num w:numId="13">
    <w:abstractNumId w:val="12"/>
  </w:num>
  <w:num w:numId="14">
    <w:abstractNumId w:val="10"/>
  </w:num>
  <w:num w:numId="15">
    <w:abstractNumId w:val="42"/>
  </w:num>
  <w:num w:numId="16">
    <w:abstractNumId w:val="39"/>
  </w:num>
  <w:num w:numId="17">
    <w:abstractNumId w:val="39"/>
  </w:num>
  <w:num w:numId="18">
    <w:abstractNumId w:val="35"/>
  </w:num>
  <w:num w:numId="19">
    <w:abstractNumId w:val="44"/>
  </w:num>
  <w:num w:numId="20">
    <w:abstractNumId w:val="50"/>
  </w:num>
  <w:num w:numId="21">
    <w:abstractNumId w:val="22"/>
  </w:num>
  <w:num w:numId="22">
    <w:abstractNumId w:val="37"/>
  </w:num>
  <w:num w:numId="23">
    <w:abstractNumId w:val="1"/>
  </w:num>
  <w:num w:numId="24">
    <w:abstractNumId w:val="2"/>
  </w:num>
  <w:num w:numId="25">
    <w:abstractNumId w:val="26"/>
  </w:num>
  <w:num w:numId="26">
    <w:abstractNumId w:val="28"/>
  </w:num>
  <w:num w:numId="27">
    <w:abstractNumId w:val="6"/>
  </w:num>
  <w:num w:numId="28">
    <w:abstractNumId w:val="9"/>
  </w:num>
  <w:num w:numId="29">
    <w:abstractNumId w:val="51"/>
  </w:num>
  <w:num w:numId="30">
    <w:abstractNumId w:val="9"/>
  </w:num>
  <w:num w:numId="31">
    <w:abstractNumId w:val="18"/>
  </w:num>
  <w:num w:numId="32">
    <w:abstractNumId w:val="47"/>
  </w:num>
  <w:num w:numId="33">
    <w:abstractNumId w:val="0"/>
  </w:num>
  <w:num w:numId="34">
    <w:abstractNumId w:val="14"/>
  </w:num>
  <w:num w:numId="35">
    <w:abstractNumId w:val="8"/>
  </w:num>
  <w:num w:numId="36">
    <w:abstractNumId w:val="34"/>
  </w:num>
  <w:num w:numId="37">
    <w:abstractNumId w:val="25"/>
  </w:num>
  <w:num w:numId="38">
    <w:abstractNumId w:val="43"/>
  </w:num>
  <w:num w:numId="39">
    <w:abstractNumId w:val="17"/>
  </w:num>
  <w:num w:numId="40">
    <w:abstractNumId w:val="30"/>
  </w:num>
  <w:num w:numId="41">
    <w:abstractNumId w:val="41"/>
  </w:num>
  <w:num w:numId="42">
    <w:abstractNumId w:val="30"/>
  </w:num>
  <w:num w:numId="43">
    <w:abstractNumId w:val="24"/>
  </w:num>
  <w:num w:numId="44">
    <w:abstractNumId w:val="45"/>
  </w:num>
  <w:num w:numId="45">
    <w:abstractNumId w:val="49"/>
  </w:num>
  <w:num w:numId="46">
    <w:abstractNumId w:val="33"/>
  </w:num>
  <w:num w:numId="47">
    <w:abstractNumId w:val="13"/>
  </w:num>
  <w:num w:numId="48">
    <w:abstractNumId w:val="7"/>
  </w:num>
  <w:num w:numId="49">
    <w:abstractNumId w:val="45"/>
  </w:num>
  <w:num w:numId="50">
    <w:abstractNumId w:val="33"/>
  </w:num>
  <w:num w:numId="51">
    <w:abstractNumId w:val="16"/>
  </w:num>
  <w:num w:numId="52">
    <w:abstractNumId w:val="31"/>
  </w:num>
  <w:num w:numId="53">
    <w:abstractNumId w:val="3"/>
  </w:num>
  <w:num w:numId="54">
    <w:abstractNumId w:val="5"/>
  </w:num>
  <w:num w:numId="55">
    <w:abstractNumId w:val="27"/>
  </w:num>
  <w:num w:numId="56">
    <w:abstractNumId w:val="32"/>
  </w:num>
  <w:num w:numId="57">
    <w:abstractNumId w:val="4"/>
  </w:num>
  <w:num w:numId="58">
    <w:abstractNumId w:val="48"/>
  </w:num>
  <w:num w:numId="59">
    <w:abstractNumId w:val="21"/>
  </w:num>
  <w:num w:numId="6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23"/>
    <w:rsid w:val="000058AF"/>
    <w:rsid w:val="0000745B"/>
    <w:rsid w:val="000135F1"/>
    <w:rsid w:val="0001451F"/>
    <w:rsid w:val="00016603"/>
    <w:rsid w:val="000175B5"/>
    <w:rsid w:val="0002067F"/>
    <w:rsid w:val="00022023"/>
    <w:rsid w:val="00030811"/>
    <w:rsid w:val="0003191E"/>
    <w:rsid w:val="000320A8"/>
    <w:rsid w:val="000356D9"/>
    <w:rsid w:val="00035E82"/>
    <w:rsid w:val="000477CB"/>
    <w:rsid w:val="00050F6D"/>
    <w:rsid w:val="00054BC0"/>
    <w:rsid w:val="00055780"/>
    <w:rsid w:val="0006056F"/>
    <w:rsid w:val="00062215"/>
    <w:rsid w:val="00062CE5"/>
    <w:rsid w:val="00063444"/>
    <w:rsid w:val="0007462E"/>
    <w:rsid w:val="00075DC2"/>
    <w:rsid w:val="000813D9"/>
    <w:rsid w:val="00084049"/>
    <w:rsid w:val="00084DE1"/>
    <w:rsid w:val="00085A02"/>
    <w:rsid w:val="00085FB2"/>
    <w:rsid w:val="00091E25"/>
    <w:rsid w:val="00093053"/>
    <w:rsid w:val="0009464C"/>
    <w:rsid w:val="000A0DF8"/>
    <w:rsid w:val="000A106A"/>
    <w:rsid w:val="000A1B96"/>
    <w:rsid w:val="000B3D17"/>
    <w:rsid w:val="000B420D"/>
    <w:rsid w:val="000B44BC"/>
    <w:rsid w:val="000B66CA"/>
    <w:rsid w:val="000C0B7E"/>
    <w:rsid w:val="000C471F"/>
    <w:rsid w:val="000D0576"/>
    <w:rsid w:val="000D2BFF"/>
    <w:rsid w:val="000D368E"/>
    <w:rsid w:val="000D5697"/>
    <w:rsid w:val="000E0A60"/>
    <w:rsid w:val="000E2EAD"/>
    <w:rsid w:val="000E4B34"/>
    <w:rsid w:val="000F0077"/>
    <w:rsid w:val="000F1A6C"/>
    <w:rsid w:val="000F3028"/>
    <w:rsid w:val="000F74E3"/>
    <w:rsid w:val="00100D27"/>
    <w:rsid w:val="00102D6F"/>
    <w:rsid w:val="001052CB"/>
    <w:rsid w:val="00105A71"/>
    <w:rsid w:val="00111124"/>
    <w:rsid w:val="001148AE"/>
    <w:rsid w:val="001149B5"/>
    <w:rsid w:val="00114CE6"/>
    <w:rsid w:val="00121FB8"/>
    <w:rsid w:val="001229AE"/>
    <w:rsid w:val="001266D2"/>
    <w:rsid w:val="00131F6D"/>
    <w:rsid w:val="0014195C"/>
    <w:rsid w:val="00141CE2"/>
    <w:rsid w:val="001423EF"/>
    <w:rsid w:val="00145154"/>
    <w:rsid w:val="00146937"/>
    <w:rsid w:val="00155FBC"/>
    <w:rsid w:val="00156001"/>
    <w:rsid w:val="0015656E"/>
    <w:rsid w:val="001566D7"/>
    <w:rsid w:val="00157A7E"/>
    <w:rsid w:val="001658C0"/>
    <w:rsid w:val="00170FB8"/>
    <w:rsid w:val="001718E3"/>
    <w:rsid w:val="00176C65"/>
    <w:rsid w:val="00177434"/>
    <w:rsid w:val="0018694E"/>
    <w:rsid w:val="00187B0C"/>
    <w:rsid w:val="00187B18"/>
    <w:rsid w:val="00191891"/>
    <w:rsid w:val="00192302"/>
    <w:rsid w:val="00194523"/>
    <w:rsid w:val="00195317"/>
    <w:rsid w:val="00195751"/>
    <w:rsid w:val="00195AAC"/>
    <w:rsid w:val="001A18C6"/>
    <w:rsid w:val="001A2D4E"/>
    <w:rsid w:val="001A3428"/>
    <w:rsid w:val="001A67DC"/>
    <w:rsid w:val="001A7C74"/>
    <w:rsid w:val="001B2834"/>
    <w:rsid w:val="001B7493"/>
    <w:rsid w:val="001C2E1C"/>
    <w:rsid w:val="001C3570"/>
    <w:rsid w:val="001C3A22"/>
    <w:rsid w:val="001C5588"/>
    <w:rsid w:val="001D1F0C"/>
    <w:rsid w:val="001D48FC"/>
    <w:rsid w:val="001E72EB"/>
    <w:rsid w:val="001F1B53"/>
    <w:rsid w:val="001F1DA8"/>
    <w:rsid w:val="00201834"/>
    <w:rsid w:val="0020196F"/>
    <w:rsid w:val="00206289"/>
    <w:rsid w:val="00214210"/>
    <w:rsid w:val="002158DF"/>
    <w:rsid w:val="00220EAD"/>
    <w:rsid w:val="00222401"/>
    <w:rsid w:val="0022311F"/>
    <w:rsid w:val="0022531E"/>
    <w:rsid w:val="0022555B"/>
    <w:rsid w:val="00225A9C"/>
    <w:rsid w:val="00225AC9"/>
    <w:rsid w:val="002305B5"/>
    <w:rsid w:val="002318E6"/>
    <w:rsid w:val="00232C6A"/>
    <w:rsid w:val="00233C10"/>
    <w:rsid w:val="0023739F"/>
    <w:rsid w:val="00240125"/>
    <w:rsid w:val="0024087D"/>
    <w:rsid w:val="00241F40"/>
    <w:rsid w:val="00242242"/>
    <w:rsid w:val="00244901"/>
    <w:rsid w:val="00245B07"/>
    <w:rsid w:val="002507EA"/>
    <w:rsid w:val="00252FA1"/>
    <w:rsid w:val="00254C79"/>
    <w:rsid w:val="00257ABA"/>
    <w:rsid w:val="00260AAE"/>
    <w:rsid w:val="00261F33"/>
    <w:rsid w:val="00265870"/>
    <w:rsid w:val="002679FC"/>
    <w:rsid w:val="00274131"/>
    <w:rsid w:val="002745A3"/>
    <w:rsid w:val="00275671"/>
    <w:rsid w:val="00280182"/>
    <w:rsid w:val="00280A80"/>
    <w:rsid w:val="00283D67"/>
    <w:rsid w:val="0029241A"/>
    <w:rsid w:val="002940D7"/>
    <w:rsid w:val="00294CA7"/>
    <w:rsid w:val="002963FA"/>
    <w:rsid w:val="002A0F71"/>
    <w:rsid w:val="002A2138"/>
    <w:rsid w:val="002A29E9"/>
    <w:rsid w:val="002A65C4"/>
    <w:rsid w:val="002B00AD"/>
    <w:rsid w:val="002B0CC9"/>
    <w:rsid w:val="002B2773"/>
    <w:rsid w:val="002B78FE"/>
    <w:rsid w:val="002B7C90"/>
    <w:rsid w:val="002C0248"/>
    <w:rsid w:val="002C161E"/>
    <w:rsid w:val="002C1A62"/>
    <w:rsid w:val="002C21BC"/>
    <w:rsid w:val="002C22E3"/>
    <w:rsid w:val="002C35E0"/>
    <w:rsid w:val="002C4696"/>
    <w:rsid w:val="002C4AAB"/>
    <w:rsid w:val="002C5E9C"/>
    <w:rsid w:val="002C760D"/>
    <w:rsid w:val="002D04C8"/>
    <w:rsid w:val="002D0CCE"/>
    <w:rsid w:val="002D483D"/>
    <w:rsid w:val="002D48AA"/>
    <w:rsid w:val="002D5F9F"/>
    <w:rsid w:val="002E1F1F"/>
    <w:rsid w:val="002E51F4"/>
    <w:rsid w:val="002F0701"/>
    <w:rsid w:val="002F27F3"/>
    <w:rsid w:val="002F3C96"/>
    <w:rsid w:val="002F7231"/>
    <w:rsid w:val="00304A76"/>
    <w:rsid w:val="00306630"/>
    <w:rsid w:val="003103D0"/>
    <w:rsid w:val="00315ECC"/>
    <w:rsid w:val="00317335"/>
    <w:rsid w:val="003201D4"/>
    <w:rsid w:val="0032075B"/>
    <w:rsid w:val="00333B5F"/>
    <w:rsid w:val="00334E51"/>
    <w:rsid w:val="00341527"/>
    <w:rsid w:val="0034384A"/>
    <w:rsid w:val="00344F96"/>
    <w:rsid w:val="00345DC7"/>
    <w:rsid w:val="00347A96"/>
    <w:rsid w:val="00352113"/>
    <w:rsid w:val="00367F7B"/>
    <w:rsid w:val="003718FD"/>
    <w:rsid w:val="0037569A"/>
    <w:rsid w:val="00376783"/>
    <w:rsid w:val="00376EFB"/>
    <w:rsid w:val="00380F97"/>
    <w:rsid w:val="00381379"/>
    <w:rsid w:val="00381A73"/>
    <w:rsid w:val="0038396B"/>
    <w:rsid w:val="00393261"/>
    <w:rsid w:val="0039566C"/>
    <w:rsid w:val="003A0022"/>
    <w:rsid w:val="003A08D2"/>
    <w:rsid w:val="003A0ED4"/>
    <w:rsid w:val="003A5122"/>
    <w:rsid w:val="003A7391"/>
    <w:rsid w:val="003B3183"/>
    <w:rsid w:val="003B5B71"/>
    <w:rsid w:val="003C15DC"/>
    <w:rsid w:val="003C1733"/>
    <w:rsid w:val="003C3368"/>
    <w:rsid w:val="003C35E0"/>
    <w:rsid w:val="003C39B5"/>
    <w:rsid w:val="003C7237"/>
    <w:rsid w:val="003C7E12"/>
    <w:rsid w:val="003D1379"/>
    <w:rsid w:val="003D18EA"/>
    <w:rsid w:val="003D3DCE"/>
    <w:rsid w:val="003D606E"/>
    <w:rsid w:val="003E0757"/>
    <w:rsid w:val="003E32AC"/>
    <w:rsid w:val="003E47F6"/>
    <w:rsid w:val="003F4C37"/>
    <w:rsid w:val="003F5AF7"/>
    <w:rsid w:val="003F64FB"/>
    <w:rsid w:val="003F73CA"/>
    <w:rsid w:val="003F75B3"/>
    <w:rsid w:val="003F7F82"/>
    <w:rsid w:val="00402F92"/>
    <w:rsid w:val="00404571"/>
    <w:rsid w:val="00405AC7"/>
    <w:rsid w:val="0040688B"/>
    <w:rsid w:val="00407B26"/>
    <w:rsid w:val="00407D7F"/>
    <w:rsid w:val="00413513"/>
    <w:rsid w:val="00415D0D"/>
    <w:rsid w:val="00416572"/>
    <w:rsid w:val="00417B2E"/>
    <w:rsid w:val="00421005"/>
    <w:rsid w:val="004228D5"/>
    <w:rsid w:val="00425B03"/>
    <w:rsid w:val="004272A5"/>
    <w:rsid w:val="004272F2"/>
    <w:rsid w:val="00436F2C"/>
    <w:rsid w:val="00436FF7"/>
    <w:rsid w:val="004408B0"/>
    <w:rsid w:val="00442803"/>
    <w:rsid w:val="004455AF"/>
    <w:rsid w:val="0044683B"/>
    <w:rsid w:val="00450EA1"/>
    <w:rsid w:val="00451E02"/>
    <w:rsid w:val="0045356A"/>
    <w:rsid w:val="004538BA"/>
    <w:rsid w:val="00456395"/>
    <w:rsid w:val="0045725F"/>
    <w:rsid w:val="0045754F"/>
    <w:rsid w:val="00463DC3"/>
    <w:rsid w:val="0046576E"/>
    <w:rsid w:val="00473173"/>
    <w:rsid w:val="004748BB"/>
    <w:rsid w:val="004756A6"/>
    <w:rsid w:val="0047586E"/>
    <w:rsid w:val="00476330"/>
    <w:rsid w:val="0047670B"/>
    <w:rsid w:val="004851F0"/>
    <w:rsid w:val="00485270"/>
    <w:rsid w:val="00490918"/>
    <w:rsid w:val="00494553"/>
    <w:rsid w:val="00494BD1"/>
    <w:rsid w:val="00495282"/>
    <w:rsid w:val="00495CD0"/>
    <w:rsid w:val="004A585F"/>
    <w:rsid w:val="004B26B2"/>
    <w:rsid w:val="004B2E2E"/>
    <w:rsid w:val="004B398A"/>
    <w:rsid w:val="004B63E0"/>
    <w:rsid w:val="004C23A9"/>
    <w:rsid w:val="004C6B8B"/>
    <w:rsid w:val="004D0058"/>
    <w:rsid w:val="004D05B8"/>
    <w:rsid w:val="004D1526"/>
    <w:rsid w:val="004D1BD7"/>
    <w:rsid w:val="004D2670"/>
    <w:rsid w:val="004D3383"/>
    <w:rsid w:val="004E7FA7"/>
    <w:rsid w:val="004F27EA"/>
    <w:rsid w:val="004F580D"/>
    <w:rsid w:val="00500139"/>
    <w:rsid w:val="00510467"/>
    <w:rsid w:val="00510DEE"/>
    <w:rsid w:val="005117E9"/>
    <w:rsid w:val="0051199C"/>
    <w:rsid w:val="005122CC"/>
    <w:rsid w:val="0051393C"/>
    <w:rsid w:val="00516CB4"/>
    <w:rsid w:val="00520BF0"/>
    <w:rsid w:val="005218BF"/>
    <w:rsid w:val="0052200E"/>
    <w:rsid w:val="005265EA"/>
    <w:rsid w:val="00526F36"/>
    <w:rsid w:val="00526FB4"/>
    <w:rsid w:val="005271BE"/>
    <w:rsid w:val="00532786"/>
    <w:rsid w:val="00536907"/>
    <w:rsid w:val="00537CBB"/>
    <w:rsid w:val="00541305"/>
    <w:rsid w:val="005414F9"/>
    <w:rsid w:val="005416D0"/>
    <w:rsid w:val="005432EE"/>
    <w:rsid w:val="0055010F"/>
    <w:rsid w:val="005510F6"/>
    <w:rsid w:val="00553247"/>
    <w:rsid w:val="00555D63"/>
    <w:rsid w:val="00557030"/>
    <w:rsid w:val="00560265"/>
    <w:rsid w:val="0056149B"/>
    <w:rsid w:val="00562C37"/>
    <w:rsid w:val="00562CF2"/>
    <w:rsid w:val="0056390D"/>
    <w:rsid w:val="00563B25"/>
    <w:rsid w:val="0056486A"/>
    <w:rsid w:val="00565727"/>
    <w:rsid w:val="00565A12"/>
    <w:rsid w:val="00570351"/>
    <w:rsid w:val="0057106F"/>
    <w:rsid w:val="00574714"/>
    <w:rsid w:val="0057537C"/>
    <w:rsid w:val="00575942"/>
    <w:rsid w:val="00580B78"/>
    <w:rsid w:val="00581F07"/>
    <w:rsid w:val="00584839"/>
    <w:rsid w:val="00587E2B"/>
    <w:rsid w:val="0059395B"/>
    <w:rsid w:val="0059400E"/>
    <w:rsid w:val="00595BDE"/>
    <w:rsid w:val="00597708"/>
    <w:rsid w:val="005A112F"/>
    <w:rsid w:val="005A2C59"/>
    <w:rsid w:val="005A2DBF"/>
    <w:rsid w:val="005A50CC"/>
    <w:rsid w:val="005A7546"/>
    <w:rsid w:val="005B39B4"/>
    <w:rsid w:val="005B47BA"/>
    <w:rsid w:val="005B67D6"/>
    <w:rsid w:val="005B7A52"/>
    <w:rsid w:val="005C0453"/>
    <w:rsid w:val="005C104D"/>
    <w:rsid w:val="005C3C93"/>
    <w:rsid w:val="005C52BC"/>
    <w:rsid w:val="005D0CBC"/>
    <w:rsid w:val="005D325F"/>
    <w:rsid w:val="005D50B0"/>
    <w:rsid w:val="005D757D"/>
    <w:rsid w:val="005D7CFD"/>
    <w:rsid w:val="005E0421"/>
    <w:rsid w:val="005E06F3"/>
    <w:rsid w:val="005E0BA3"/>
    <w:rsid w:val="005E144C"/>
    <w:rsid w:val="005E21FB"/>
    <w:rsid w:val="005E282D"/>
    <w:rsid w:val="005E4481"/>
    <w:rsid w:val="005E5E5B"/>
    <w:rsid w:val="005F080C"/>
    <w:rsid w:val="005F0D16"/>
    <w:rsid w:val="005F1C70"/>
    <w:rsid w:val="005F2A21"/>
    <w:rsid w:val="005F32A0"/>
    <w:rsid w:val="005F4F93"/>
    <w:rsid w:val="00600322"/>
    <w:rsid w:val="006007CB"/>
    <w:rsid w:val="00601755"/>
    <w:rsid w:val="006030EB"/>
    <w:rsid w:val="00604287"/>
    <w:rsid w:val="00605198"/>
    <w:rsid w:val="00610EA1"/>
    <w:rsid w:val="00614770"/>
    <w:rsid w:val="006178C7"/>
    <w:rsid w:val="006223B0"/>
    <w:rsid w:val="00624806"/>
    <w:rsid w:val="0062500D"/>
    <w:rsid w:val="00631002"/>
    <w:rsid w:val="00631C28"/>
    <w:rsid w:val="00632080"/>
    <w:rsid w:val="00632C83"/>
    <w:rsid w:val="00633D98"/>
    <w:rsid w:val="0063583D"/>
    <w:rsid w:val="00636E72"/>
    <w:rsid w:val="00640E1E"/>
    <w:rsid w:val="00641298"/>
    <w:rsid w:val="006479F3"/>
    <w:rsid w:val="006555E9"/>
    <w:rsid w:val="00665717"/>
    <w:rsid w:val="00667CB4"/>
    <w:rsid w:val="00670F5F"/>
    <w:rsid w:val="0067308E"/>
    <w:rsid w:val="00675E77"/>
    <w:rsid w:val="00677A89"/>
    <w:rsid w:val="006870EA"/>
    <w:rsid w:val="00693877"/>
    <w:rsid w:val="00695633"/>
    <w:rsid w:val="00695C35"/>
    <w:rsid w:val="006A1640"/>
    <w:rsid w:val="006A600E"/>
    <w:rsid w:val="006B1F0D"/>
    <w:rsid w:val="006B204D"/>
    <w:rsid w:val="006B2D09"/>
    <w:rsid w:val="006B503C"/>
    <w:rsid w:val="006B7FA0"/>
    <w:rsid w:val="006C53E4"/>
    <w:rsid w:val="006D5860"/>
    <w:rsid w:val="006D7F8C"/>
    <w:rsid w:val="006E0BA3"/>
    <w:rsid w:val="006E151F"/>
    <w:rsid w:val="006E561E"/>
    <w:rsid w:val="006E5E77"/>
    <w:rsid w:val="006E7AA6"/>
    <w:rsid w:val="006F3953"/>
    <w:rsid w:val="006F3D96"/>
    <w:rsid w:val="006F4E91"/>
    <w:rsid w:val="007002E7"/>
    <w:rsid w:val="00701FFC"/>
    <w:rsid w:val="007024E4"/>
    <w:rsid w:val="00703350"/>
    <w:rsid w:val="00710FB2"/>
    <w:rsid w:val="007113D7"/>
    <w:rsid w:val="007134AD"/>
    <w:rsid w:val="00720772"/>
    <w:rsid w:val="00721C8F"/>
    <w:rsid w:val="007221E6"/>
    <w:rsid w:val="007268F7"/>
    <w:rsid w:val="00732D32"/>
    <w:rsid w:val="00736E13"/>
    <w:rsid w:val="007406B6"/>
    <w:rsid w:val="007423F5"/>
    <w:rsid w:val="007437FE"/>
    <w:rsid w:val="007440D6"/>
    <w:rsid w:val="00746894"/>
    <w:rsid w:val="00752470"/>
    <w:rsid w:val="00752D12"/>
    <w:rsid w:val="00756DDF"/>
    <w:rsid w:val="00760CE4"/>
    <w:rsid w:val="00763EB9"/>
    <w:rsid w:val="00766A18"/>
    <w:rsid w:val="00774208"/>
    <w:rsid w:val="007757EA"/>
    <w:rsid w:val="00776043"/>
    <w:rsid w:val="00777183"/>
    <w:rsid w:val="007802B6"/>
    <w:rsid w:val="007859BF"/>
    <w:rsid w:val="00790484"/>
    <w:rsid w:val="00790D2C"/>
    <w:rsid w:val="00796E45"/>
    <w:rsid w:val="00797B4E"/>
    <w:rsid w:val="007A3425"/>
    <w:rsid w:val="007B12A5"/>
    <w:rsid w:val="007B545B"/>
    <w:rsid w:val="007B70B4"/>
    <w:rsid w:val="007C3504"/>
    <w:rsid w:val="007C51F9"/>
    <w:rsid w:val="007C747C"/>
    <w:rsid w:val="007D3D72"/>
    <w:rsid w:val="007D3DAC"/>
    <w:rsid w:val="007D51BA"/>
    <w:rsid w:val="007D649F"/>
    <w:rsid w:val="007D65B9"/>
    <w:rsid w:val="007E690E"/>
    <w:rsid w:val="007F11D6"/>
    <w:rsid w:val="007F1824"/>
    <w:rsid w:val="007F2759"/>
    <w:rsid w:val="007F2E7E"/>
    <w:rsid w:val="007F3D77"/>
    <w:rsid w:val="00804176"/>
    <w:rsid w:val="008077D8"/>
    <w:rsid w:val="008114E1"/>
    <w:rsid w:val="00812073"/>
    <w:rsid w:val="00820616"/>
    <w:rsid w:val="00824265"/>
    <w:rsid w:val="00826407"/>
    <w:rsid w:val="00827524"/>
    <w:rsid w:val="00827811"/>
    <w:rsid w:val="00830969"/>
    <w:rsid w:val="00831E76"/>
    <w:rsid w:val="008345F8"/>
    <w:rsid w:val="008354DB"/>
    <w:rsid w:val="00840A3A"/>
    <w:rsid w:val="00844246"/>
    <w:rsid w:val="00844A2B"/>
    <w:rsid w:val="00850BD8"/>
    <w:rsid w:val="0085554E"/>
    <w:rsid w:val="00860F7A"/>
    <w:rsid w:val="0086125F"/>
    <w:rsid w:val="00863A07"/>
    <w:rsid w:val="00865646"/>
    <w:rsid w:val="00865A77"/>
    <w:rsid w:val="00866A03"/>
    <w:rsid w:val="00870360"/>
    <w:rsid w:val="00871832"/>
    <w:rsid w:val="00872708"/>
    <w:rsid w:val="008772EC"/>
    <w:rsid w:val="00877A3D"/>
    <w:rsid w:val="00877F21"/>
    <w:rsid w:val="0088516E"/>
    <w:rsid w:val="00886EFF"/>
    <w:rsid w:val="0089449D"/>
    <w:rsid w:val="0089520D"/>
    <w:rsid w:val="008954A6"/>
    <w:rsid w:val="00896B63"/>
    <w:rsid w:val="00897A31"/>
    <w:rsid w:val="008A2A54"/>
    <w:rsid w:val="008A2A68"/>
    <w:rsid w:val="008A4640"/>
    <w:rsid w:val="008A4EB9"/>
    <w:rsid w:val="008A651E"/>
    <w:rsid w:val="008B02B9"/>
    <w:rsid w:val="008B2024"/>
    <w:rsid w:val="008B2447"/>
    <w:rsid w:val="008B4824"/>
    <w:rsid w:val="008B513F"/>
    <w:rsid w:val="008B7205"/>
    <w:rsid w:val="008B74D7"/>
    <w:rsid w:val="008B7E5C"/>
    <w:rsid w:val="008C0E03"/>
    <w:rsid w:val="008C5427"/>
    <w:rsid w:val="008E122B"/>
    <w:rsid w:val="008E148B"/>
    <w:rsid w:val="008E357B"/>
    <w:rsid w:val="008F22FF"/>
    <w:rsid w:val="008F502F"/>
    <w:rsid w:val="00905261"/>
    <w:rsid w:val="0090574A"/>
    <w:rsid w:val="0090703D"/>
    <w:rsid w:val="0091659B"/>
    <w:rsid w:val="00921678"/>
    <w:rsid w:val="00921E65"/>
    <w:rsid w:val="00922F76"/>
    <w:rsid w:val="0092689C"/>
    <w:rsid w:val="00927864"/>
    <w:rsid w:val="009323E5"/>
    <w:rsid w:val="00933C35"/>
    <w:rsid w:val="00934127"/>
    <w:rsid w:val="00937642"/>
    <w:rsid w:val="009402E0"/>
    <w:rsid w:val="00941D62"/>
    <w:rsid w:val="009426EA"/>
    <w:rsid w:val="009448E1"/>
    <w:rsid w:val="00945610"/>
    <w:rsid w:val="00945AF7"/>
    <w:rsid w:val="00950451"/>
    <w:rsid w:val="009675AE"/>
    <w:rsid w:val="00973D1C"/>
    <w:rsid w:val="00973E67"/>
    <w:rsid w:val="0098172C"/>
    <w:rsid w:val="009826DE"/>
    <w:rsid w:val="009847F9"/>
    <w:rsid w:val="00984977"/>
    <w:rsid w:val="00985E24"/>
    <w:rsid w:val="00985FDF"/>
    <w:rsid w:val="0098725E"/>
    <w:rsid w:val="00987CE7"/>
    <w:rsid w:val="009914DD"/>
    <w:rsid w:val="0099444A"/>
    <w:rsid w:val="009955AF"/>
    <w:rsid w:val="00997C29"/>
    <w:rsid w:val="009B2C46"/>
    <w:rsid w:val="009B441E"/>
    <w:rsid w:val="009B6EFB"/>
    <w:rsid w:val="009C2A98"/>
    <w:rsid w:val="009C4DB6"/>
    <w:rsid w:val="009C6CD6"/>
    <w:rsid w:val="009D120C"/>
    <w:rsid w:val="009D17D0"/>
    <w:rsid w:val="009D4962"/>
    <w:rsid w:val="009D6017"/>
    <w:rsid w:val="009D6C0C"/>
    <w:rsid w:val="009D7D7D"/>
    <w:rsid w:val="009D7F45"/>
    <w:rsid w:val="009E0539"/>
    <w:rsid w:val="009E22A6"/>
    <w:rsid w:val="009E2878"/>
    <w:rsid w:val="009E3227"/>
    <w:rsid w:val="009E3A65"/>
    <w:rsid w:val="009F4240"/>
    <w:rsid w:val="009F44CC"/>
    <w:rsid w:val="009F4509"/>
    <w:rsid w:val="009F4902"/>
    <w:rsid w:val="009F4A9B"/>
    <w:rsid w:val="00A00786"/>
    <w:rsid w:val="00A04101"/>
    <w:rsid w:val="00A12819"/>
    <w:rsid w:val="00A16323"/>
    <w:rsid w:val="00A173C3"/>
    <w:rsid w:val="00A21388"/>
    <w:rsid w:val="00A21572"/>
    <w:rsid w:val="00A21AFE"/>
    <w:rsid w:val="00A222F2"/>
    <w:rsid w:val="00A25006"/>
    <w:rsid w:val="00A25D0B"/>
    <w:rsid w:val="00A347A3"/>
    <w:rsid w:val="00A36218"/>
    <w:rsid w:val="00A41FA6"/>
    <w:rsid w:val="00A501CC"/>
    <w:rsid w:val="00A51707"/>
    <w:rsid w:val="00A520CC"/>
    <w:rsid w:val="00A533DC"/>
    <w:rsid w:val="00A54B9D"/>
    <w:rsid w:val="00A55737"/>
    <w:rsid w:val="00A617D2"/>
    <w:rsid w:val="00A6252F"/>
    <w:rsid w:val="00A647B6"/>
    <w:rsid w:val="00A70F08"/>
    <w:rsid w:val="00A7582F"/>
    <w:rsid w:val="00A76176"/>
    <w:rsid w:val="00A830AC"/>
    <w:rsid w:val="00A83292"/>
    <w:rsid w:val="00A847AA"/>
    <w:rsid w:val="00A84F1D"/>
    <w:rsid w:val="00A8532D"/>
    <w:rsid w:val="00A85AE9"/>
    <w:rsid w:val="00A872A3"/>
    <w:rsid w:val="00A90B21"/>
    <w:rsid w:val="00A91A3D"/>
    <w:rsid w:val="00A922B7"/>
    <w:rsid w:val="00A96645"/>
    <w:rsid w:val="00AA1B4D"/>
    <w:rsid w:val="00AA53A9"/>
    <w:rsid w:val="00AA5E70"/>
    <w:rsid w:val="00AB0BA4"/>
    <w:rsid w:val="00AB351C"/>
    <w:rsid w:val="00AB7AF8"/>
    <w:rsid w:val="00AC165D"/>
    <w:rsid w:val="00AC44B7"/>
    <w:rsid w:val="00AD07B9"/>
    <w:rsid w:val="00AD2425"/>
    <w:rsid w:val="00AE2A2F"/>
    <w:rsid w:val="00AE327F"/>
    <w:rsid w:val="00AE32F4"/>
    <w:rsid w:val="00AE4684"/>
    <w:rsid w:val="00AE5978"/>
    <w:rsid w:val="00AE6073"/>
    <w:rsid w:val="00AE646A"/>
    <w:rsid w:val="00AF1426"/>
    <w:rsid w:val="00AF1E18"/>
    <w:rsid w:val="00AF2FCA"/>
    <w:rsid w:val="00AF3346"/>
    <w:rsid w:val="00AF53F4"/>
    <w:rsid w:val="00B04851"/>
    <w:rsid w:val="00B05E2A"/>
    <w:rsid w:val="00B0614A"/>
    <w:rsid w:val="00B06A73"/>
    <w:rsid w:val="00B118DD"/>
    <w:rsid w:val="00B156DF"/>
    <w:rsid w:val="00B20071"/>
    <w:rsid w:val="00B22F61"/>
    <w:rsid w:val="00B24079"/>
    <w:rsid w:val="00B30598"/>
    <w:rsid w:val="00B314F4"/>
    <w:rsid w:val="00B32829"/>
    <w:rsid w:val="00B357D4"/>
    <w:rsid w:val="00B410EE"/>
    <w:rsid w:val="00B46CDB"/>
    <w:rsid w:val="00B52CB4"/>
    <w:rsid w:val="00B53526"/>
    <w:rsid w:val="00B53A6D"/>
    <w:rsid w:val="00B54956"/>
    <w:rsid w:val="00B5577D"/>
    <w:rsid w:val="00B57BA5"/>
    <w:rsid w:val="00B670C2"/>
    <w:rsid w:val="00B7030A"/>
    <w:rsid w:val="00B70E14"/>
    <w:rsid w:val="00B71751"/>
    <w:rsid w:val="00B72416"/>
    <w:rsid w:val="00B73DAE"/>
    <w:rsid w:val="00B76A9E"/>
    <w:rsid w:val="00B80BE1"/>
    <w:rsid w:val="00B81273"/>
    <w:rsid w:val="00B82F06"/>
    <w:rsid w:val="00B87D96"/>
    <w:rsid w:val="00B9053D"/>
    <w:rsid w:val="00B9076B"/>
    <w:rsid w:val="00B925F8"/>
    <w:rsid w:val="00BA06BC"/>
    <w:rsid w:val="00BA2D19"/>
    <w:rsid w:val="00BA2FDA"/>
    <w:rsid w:val="00BA42B5"/>
    <w:rsid w:val="00BA625A"/>
    <w:rsid w:val="00BA72B2"/>
    <w:rsid w:val="00BB4BED"/>
    <w:rsid w:val="00BB5827"/>
    <w:rsid w:val="00BC185E"/>
    <w:rsid w:val="00BC3ECE"/>
    <w:rsid w:val="00BC6BD0"/>
    <w:rsid w:val="00BC7977"/>
    <w:rsid w:val="00BD053B"/>
    <w:rsid w:val="00BD3801"/>
    <w:rsid w:val="00BD447B"/>
    <w:rsid w:val="00BD7B0B"/>
    <w:rsid w:val="00BE0718"/>
    <w:rsid w:val="00BE1CED"/>
    <w:rsid w:val="00BE3586"/>
    <w:rsid w:val="00BE37F1"/>
    <w:rsid w:val="00BE42D3"/>
    <w:rsid w:val="00BE595D"/>
    <w:rsid w:val="00BE78AE"/>
    <w:rsid w:val="00BF0A77"/>
    <w:rsid w:val="00BF10D5"/>
    <w:rsid w:val="00BF2F69"/>
    <w:rsid w:val="00BF37F6"/>
    <w:rsid w:val="00BF4A01"/>
    <w:rsid w:val="00BF69FF"/>
    <w:rsid w:val="00C03824"/>
    <w:rsid w:val="00C052FE"/>
    <w:rsid w:val="00C07FB8"/>
    <w:rsid w:val="00C14EE7"/>
    <w:rsid w:val="00C15582"/>
    <w:rsid w:val="00C17D64"/>
    <w:rsid w:val="00C210C3"/>
    <w:rsid w:val="00C22B35"/>
    <w:rsid w:val="00C23283"/>
    <w:rsid w:val="00C236B7"/>
    <w:rsid w:val="00C2536B"/>
    <w:rsid w:val="00C348CE"/>
    <w:rsid w:val="00C41C03"/>
    <w:rsid w:val="00C45386"/>
    <w:rsid w:val="00C47EB3"/>
    <w:rsid w:val="00C50EC8"/>
    <w:rsid w:val="00C52DE9"/>
    <w:rsid w:val="00C56BB1"/>
    <w:rsid w:val="00C60E2C"/>
    <w:rsid w:val="00C62BAA"/>
    <w:rsid w:val="00C649D5"/>
    <w:rsid w:val="00C67353"/>
    <w:rsid w:val="00C75088"/>
    <w:rsid w:val="00C83778"/>
    <w:rsid w:val="00C8508C"/>
    <w:rsid w:val="00C86163"/>
    <w:rsid w:val="00C91549"/>
    <w:rsid w:val="00C91959"/>
    <w:rsid w:val="00C973B7"/>
    <w:rsid w:val="00CA3965"/>
    <w:rsid w:val="00CA7405"/>
    <w:rsid w:val="00CB0A00"/>
    <w:rsid w:val="00CB26D2"/>
    <w:rsid w:val="00CB4BBA"/>
    <w:rsid w:val="00CC087D"/>
    <w:rsid w:val="00CC7ED1"/>
    <w:rsid w:val="00CD192F"/>
    <w:rsid w:val="00CD2DD3"/>
    <w:rsid w:val="00CD4032"/>
    <w:rsid w:val="00CD4424"/>
    <w:rsid w:val="00CD4C14"/>
    <w:rsid w:val="00CD4CCE"/>
    <w:rsid w:val="00CE028E"/>
    <w:rsid w:val="00CE328D"/>
    <w:rsid w:val="00CE66F7"/>
    <w:rsid w:val="00CE7433"/>
    <w:rsid w:val="00CF0105"/>
    <w:rsid w:val="00CF0864"/>
    <w:rsid w:val="00CF7736"/>
    <w:rsid w:val="00D00296"/>
    <w:rsid w:val="00D011B7"/>
    <w:rsid w:val="00D01B5F"/>
    <w:rsid w:val="00D023CC"/>
    <w:rsid w:val="00D02D3A"/>
    <w:rsid w:val="00D06809"/>
    <w:rsid w:val="00D071B9"/>
    <w:rsid w:val="00D10030"/>
    <w:rsid w:val="00D1003F"/>
    <w:rsid w:val="00D15DB9"/>
    <w:rsid w:val="00D17C83"/>
    <w:rsid w:val="00D2014E"/>
    <w:rsid w:val="00D22AC2"/>
    <w:rsid w:val="00D22BA7"/>
    <w:rsid w:val="00D24F33"/>
    <w:rsid w:val="00D256DC"/>
    <w:rsid w:val="00D271F8"/>
    <w:rsid w:val="00D27D9C"/>
    <w:rsid w:val="00D34E94"/>
    <w:rsid w:val="00D35B84"/>
    <w:rsid w:val="00D36956"/>
    <w:rsid w:val="00D409D3"/>
    <w:rsid w:val="00D4219A"/>
    <w:rsid w:val="00D45895"/>
    <w:rsid w:val="00D47C83"/>
    <w:rsid w:val="00D52321"/>
    <w:rsid w:val="00D55FFB"/>
    <w:rsid w:val="00D57693"/>
    <w:rsid w:val="00D625E8"/>
    <w:rsid w:val="00D64935"/>
    <w:rsid w:val="00D65F75"/>
    <w:rsid w:val="00D72362"/>
    <w:rsid w:val="00D72960"/>
    <w:rsid w:val="00D741FC"/>
    <w:rsid w:val="00D81B04"/>
    <w:rsid w:val="00D82332"/>
    <w:rsid w:val="00D827E0"/>
    <w:rsid w:val="00D83640"/>
    <w:rsid w:val="00D84E88"/>
    <w:rsid w:val="00D850D7"/>
    <w:rsid w:val="00D86B19"/>
    <w:rsid w:val="00D86DA5"/>
    <w:rsid w:val="00D87383"/>
    <w:rsid w:val="00D96AF3"/>
    <w:rsid w:val="00D979AE"/>
    <w:rsid w:val="00DA17D4"/>
    <w:rsid w:val="00DA3627"/>
    <w:rsid w:val="00DA4173"/>
    <w:rsid w:val="00DA5E42"/>
    <w:rsid w:val="00DB3334"/>
    <w:rsid w:val="00DB4C41"/>
    <w:rsid w:val="00DB5F33"/>
    <w:rsid w:val="00DB65F7"/>
    <w:rsid w:val="00DB765C"/>
    <w:rsid w:val="00DC0CA1"/>
    <w:rsid w:val="00DC2D27"/>
    <w:rsid w:val="00DC443E"/>
    <w:rsid w:val="00DC62B2"/>
    <w:rsid w:val="00DD0115"/>
    <w:rsid w:val="00DD3DFC"/>
    <w:rsid w:val="00DD4D15"/>
    <w:rsid w:val="00DE1053"/>
    <w:rsid w:val="00DE3551"/>
    <w:rsid w:val="00DE3571"/>
    <w:rsid w:val="00DE5612"/>
    <w:rsid w:val="00DF309F"/>
    <w:rsid w:val="00DF3F45"/>
    <w:rsid w:val="00DF4ED1"/>
    <w:rsid w:val="00E04F5A"/>
    <w:rsid w:val="00E10C33"/>
    <w:rsid w:val="00E11819"/>
    <w:rsid w:val="00E12FAD"/>
    <w:rsid w:val="00E1385A"/>
    <w:rsid w:val="00E1456A"/>
    <w:rsid w:val="00E14BD0"/>
    <w:rsid w:val="00E170CF"/>
    <w:rsid w:val="00E21B82"/>
    <w:rsid w:val="00E221AC"/>
    <w:rsid w:val="00E240D3"/>
    <w:rsid w:val="00E2498D"/>
    <w:rsid w:val="00E25D38"/>
    <w:rsid w:val="00E278E2"/>
    <w:rsid w:val="00E35329"/>
    <w:rsid w:val="00E43926"/>
    <w:rsid w:val="00E46792"/>
    <w:rsid w:val="00E47924"/>
    <w:rsid w:val="00E50132"/>
    <w:rsid w:val="00E51EA5"/>
    <w:rsid w:val="00E52C4F"/>
    <w:rsid w:val="00E60A62"/>
    <w:rsid w:val="00E615FE"/>
    <w:rsid w:val="00E6466F"/>
    <w:rsid w:val="00E65DF9"/>
    <w:rsid w:val="00E71DED"/>
    <w:rsid w:val="00E7629E"/>
    <w:rsid w:val="00E77890"/>
    <w:rsid w:val="00E82246"/>
    <w:rsid w:val="00E84574"/>
    <w:rsid w:val="00E87A60"/>
    <w:rsid w:val="00E91543"/>
    <w:rsid w:val="00E91B48"/>
    <w:rsid w:val="00EA4F8D"/>
    <w:rsid w:val="00EA6F99"/>
    <w:rsid w:val="00EA76E0"/>
    <w:rsid w:val="00EA7E50"/>
    <w:rsid w:val="00EB22B6"/>
    <w:rsid w:val="00EB29FA"/>
    <w:rsid w:val="00EB31B5"/>
    <w:rsid w:val="00EB64DD"/>
    <w:rsid w:val="00EB78E4"/>
    <w:rsid w:val="00EB7911"/>
    <w:rsid w:val="00EC11C9"/>
    <w:rsid w:val="00ED5CD4"/>
    <w:rsid w:val="00ED5EE6"/>
    <w:rsid w:val="00ED626F"/>
    <w:rsid w:val="00EE2654"/>
    <w:rsid w:val="00EE2716"/>
    <w:rsid w:val="00EE41FD"/>
    <w:rsid w:val="00EE6A69"/>
    <w:rsid w:val="00EF0DE8"/>
    <w:rsid w:val="00EF19CD"/>
    <w:rsid w:val="00EF1D8B"/>
    <w:rsid w:val="00EF3C5D"/>
    <w:rsid w:val="00EF3C66"/>
    <w:rsid w:val="00EF613E"/>
    <w:rsid w:val="00F00D32"/>
    <w:rsid w:val="00F11536"/>
    <w:rsid w:val="00F13663"/>
    <w:rsid w:val="00F31A63"/>
    <w:rsid w:val="00F34306"/>
    <w:rsid w:val="00F3440A"/>
    <w:rsid w:val="00F34486"/>
    <w:rsid w:val="00F35F37"/>
    <w:rsid w:val="00F36AB7"/>
    <w:rsid w:val="00F4172C"/>
    <w:rsid w:val="00F41C9E"/>
    <w:rsid w:val="00F432D7"/>
    <w:rsid w:val="00F45488"/>
    <w:rsid w:val="00F629BD"/>
    <w:rsid w:val="00F64E99"/>
    <w:rsid w:val="00F75983"/>
    <w:rsid w:val="00F76510"/>
    <w:rsid w:val="00F84CF5"/>
    <w:rsid w:val="00F85037"/>
    <w:rsid w:val="00F87AE5"/>
    <w:rsid w:val="00F93956"/>
    <w:rsid w:val="00F95C63"/>
    <w:rsid w:val="00F96D4F"/>
    <w:rsid w:val="00FA0A87"/>
    <w:rsid w:val="00FA1327"/>
    <w:rsid w:val="00FA5043"/>
    <w:rsid w:val="00FB0613"/>
    <w:rsid w:val="00FB492D"/>
    <w:rsid w:val="00FB5B83"/>
    <w:rsid w:val="00FB5F12"/>
    <w:rsid w:val="00FC20CF"/>
    <w:rsid w:val="00FC3F4F"/>
    <w:rsid w:val="00FC4D54"/>
    <w:rsid w:val="00FC529F"/>
    <w:rsid w:val="00FC699F"/>
    <w:rsid w:val="00FC7FAA"/>
    <w:rsid w:val="00FD2009"/>
    <w:rsid w:val="00FD514A"/>
    <w:rsid w:val="00FD5BA5"/>
    <w:rsid w:val="00FE155F"/>
    <w:rsid w:val="00FE38C9"/>
    <w:rsid w:val="00FE65A5"/>
    <w:rsid w:val="00FE6772"/>
    <w:rsid w:val="00FE77FD"/>
    <w:rsid w:val="00FF0FBC"/>
    <w:rsid w:val="00FF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E7D0C"/>
  <w14:defaultImageDpi w14:val="0"/>
  <w15:docId w15:val="{5F09D463-2481-4835-8A9A-486388DE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323"/>
    <w:pPr>
      <w:spacing w:after="160" w:line="259"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323"/>
    <w:pPr>
      <w:ind w:left="720"/>
      <w:contextualSpacing/>
    </w:pPr>
  </w:style>
  <w:style w:type="character" w:styleId="CommentReference">
    <w:name w:val="annotation reference"/>
    <w:basedOn w:val="DefaultParagraphFont"/>
    <w:uiPriority w:val="99"/>
    <w:semiHidden/>
    <w:unhideWhenUsed/>
    <w:rsid w:val="00A16323"/>
    <w:rPr>
      <w:rFonts w:cs="Times New Roman"/>
      <w:sz w:val="16"/>
      <w:szCs w:val="16"/>
    </w:rPr>
  </w:style>
  <w:style w:type="paragraph" w:styleId="CommentText">
    <w:name w:val="annotation text"/>
    <w:basedOn w:val="Normal"/>
    <w:link w:val="CommentTextChar"/>
    <w:uiPriority w:val="99"/>
    <w:unhideWhenUsed/>
    <w:rsid w:val="00A16323"/>
    <w:pPr>
      <w:spacing w:line="240" w:lineRule="auto"/>
    </w:pPr>
    <w:rPr>
      <w:sz w:val="20"/>
      <w:szCs w:val="20"/>
    </w:rPr>
  </w:style>
  <w:style w:type="character" w:customStyle="1" w:styleId="CommentTextChar">
    <w:name w:val="Comment Text Char"/>
    <w:basedOn w:val="DefaultParagraphFont"/>
    <w:link w:val="CommentText"/>
    <w:uiPriority w:val="99"/>
    <w:locked/>
    <w:rsid w:val="00A16323"/>
    <w:rPr>
      <w:rFonts w:cs="Times New Roman"/>
      <w:sz w:val="20"/>
      <w:szCs w:val="20"/>
    </w:rPr>
  </w:style>
  <w:style w:type="paragraph" w:styleId="BalloonText">
    <w:name w:val="Balloon Text"/>
    <w:basedOn w:val="Normal"/>
    <w:link w:val="BalloonTextChar"/>
    <w:uiPriority w:val="99"/>
    <w:semiHidden/>
    <w:unhideWhenUsed/>
    <w:rsid w:val="00A16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632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9520D"/>
    <w:rPr>
      <w:b/>
      <w:bCs/>
    </w:rPr>
  </w:style>
  <w:style w:type="character" w:customStyle="1" w:styleId="CommentSubjectChar">
    <w:name w:val="Comment Subject Char"/>
    <w:basedOn w:val="CommentTextChar"/>
    <w:link w:val="CommentSubject"/>
    <w:uiPriority w:val="99"/>
    <w:semiHidden/>
    <w:locked/>
    <w:rsid w:val="0089520D"/>
    <w:rPr>
      <w:rFonts w:cs="Times New Roman"/>
      <w:b/>
      <w:bCs/>
      <w:sz w:val="20"/>
      <w:szCs w:val="20"/>
    </w:rPr>
  </w:style>
  <w:style w:type="paragraph" w:styleId="PlainText">
    <w:name w:val="Plain Text"/>
    <w:basedOn w:val="Normal"/>
    <w:link w:val="PlainTextChar"/>
    <w:uiPriority w:val="99"/>
    <w:unhideWhenUsed/>
    <w:rsid w:val="007D649F"/>
    <w:pPr>
      <w:spacing w:after="0" w:line="240" w:lineRule="auto"/>
    </w:pPr>
    <w:rPr>
      <w:rFonts w:ascii="Calibri" w:hAnsi="Calibri"/>
      <w:szCs w:val="21"/>
    </w:rPr>
  </w:style>
  <w:style w:type="character" w:customStyle="1" w:styleId="PlainTextChar">
    <w:name w:val="Plain Text Char"/>
    <w:basedOn w:val="DefaultParagraphFont"/>
    <w:link w:val="PlainText"/>
    <w:uiPriority w:val="99"/>
    <w:locked/>
    <w:rsid w:val="007D649F"/>
    <w:rPr>
      <w:rFonts w:ascii="Calibri" w:hAnsi="Calibri" w:cs="Times New Roman"/>
      <w:sz w:val="21"/>
      <w:szCs w:val="21"/>
    </w:rPr>
  </w:style>
  <w:style w:type="paragraph" w:styleId="NormalWeb">
    <w:name w:val="Normal (Web)"/>
    <w:basedOn w:val="Normal"/>
    <w:uiPriority w:val="99"/>
    <w:unhideWhenUsed/>
    <w:rsid w:val="00AF1E18"/>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232C6A"/>
    <w:rPr>
      <w:rFonts w:cs="Times New Roman"/>
      <w:i/>
      <w:iCs/>
    </w:rPr>
  </w:style>
  <w:style w:type="paragraph" w:styleId="Revision">
    <w:name w:val="Revision"/>
    <w:hidden/>
    <w:uiPriority w:val="99"/>
    <w:semiHidden/>
    <w:rsid w:val="002940D7"/>
    <w:pPr>
      <w:spacing w:after="0" w:line="240" w:lineRule="auto"/>
    </w:pPr>
    <w:rPr>
      <w:rFonts w:cs="Times New Roman"/>
    </w:rPr>
  </w:style>
  <w:style w:type="character" w:styleId="Hyperlink">
    <w:name w:val="Hyperlink"/>
    <w:basedOn w:val="DefaultParagraphFont"/>
    <w:uiPriority w:val="99"/>
    <w:unhideWhenUsed/>
    <w:rsid w:val="005C3C93"/>
    <w:rPr>
      <w:rFonts w:cs="Times New Roman"/>
      <w:color w:val="0000FF" w:themeColor="hyperlink"/>
      <w:u w:val="single"/>
    </w:rPr>
  </w:style>
  <w:style w:type="character" w:styleId="FollowedHyperlink">
    <w:name w:val="FollowedHyperlink"/>
    <w:basedOn w:val="DefaultParagraphFont"/>
    <w:uiPriority w:val="99"/>
    <w:semiHidden/>
    <w:unhideWhenUsed/>
    <w:rsid w:val="004B63E0"/>
    <w:rPr>
      <w:rFonts w:cs="Times New Roman"/>
      <w:color w:val="800080" w:themeColor="followedHyperlink"/>
      <w:u w:val="single"/>
    </w:rPr>
  </w:style>
  <w:style w:type="paragraph" w:styleId="NoSpacing">
    <w:name w:val="No Spacing"/>
    <w:uiPriority w:val="1"/>
    <w:qFormat/>
    <w:rsid w:val="00D86B19"/>
    <w:pPr>
      <w:spacing w:after="0" w:line="240" w:lineRule="auto"/>
    </w:pPr>
    <w:rPr>
      <w:rFonts w:cs="Times New Roman"/>
    </w:rPr>
  </w:style>
  <w:style w:type="character" w:styleId="Strong">
    <w:name w:val="Strong"/>
    <w:basedOn w:val="DefaultParagraphFont"/>
    <w:uiPriority w:val="22"/>
    <w:qFormat/>
    <w:rsid w:val="002158DF"/>
    <w:rPr>
      <w:rFonts w:cs="Times New Roman"/>
      <w:b/>
      <w:bCs/>
    </w:rPr>
  </w:style>
  <w:style w:type="character" w:customStyle="1" w:styleId="scayt-misspell-word">
    <w:name w:val="scayt-misspell-word"/>
    <w:basedOn w:val="DefaultParagraphFont"/>
    <w:rsid w:val="00DA5E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85675">
      <w:marLeft w:val="0"/>
      <w:marRight w:val="0"/>
      <w:marTop w:val="0"/>
      <w:marBottom w:val="0"/>
      <w:divBdr>
        <w:top w:val="none" w:sz="0" w:space="0" w:color="auto"/>
        <w:left w:val="none" w:sz="0" w:space="0" w:color="auto"/>
        <w:bottom w:val="none" w:sz="0" w:space="0" w:color="auto"/>
        <w:right w:val="none" w:sz="0" w:space="0" w:color="auto"/>
      </w:divBdr>
    </w:div>
    <w:div w:id="607085676">
      <w:marLeft w:val="0"/>
      <w:marRight w:val="0"/>
      <w:marTop w:val="0"/>
      <w:marBottom w:val="0"/>
      <w:divBdr>
        <w:top w:val="none" w:sz="0" w:space="0" w:color="auto"/>
        <w:left w:val="none" w:sz="0" w:space="0" w:color="auto"/>
        <w:bottom w:val="none" w:sz="0" w:space="0" w:color="auto"/>
        <w:right w:val="none" w:sz="0" w:space="0" w:color="auto"/>
      </w:divBdr>
    </w:div>
    <w:div w:id="607085678">
      <w:marLeft w:val="0"/>
      <w:marRight w:val="0"/>
      <w:marTop w:val="0"/>
      <w:marBottom w:val="0"/>
      <w:divBdr>
        <w:top w:val="none" w:sz="0" w:space="0" w:color="auto"/>
        <w:left w:val="none" w:sz="0" w:space="0" w:color="auto"/>
        <w:bottom w:val="none" w:sz="0" w:space="0" w:color="auto"/>
        <w:right w:val="none" w:sz="0" w:space="0" w:color="auto"/>
      </w:divBdr>
    </w:div>
    <w:div w:id="607085681">
      <w:marLeft w:val="0"/>
      <w:marRight w:val="0"/>
      <w:marTop w:val="0"/>
      <w:marBottom w:val="0"/>
      <w:divBdr>
        <w:top w:val="none" w:sz="0" w:space="0" w:color="auto"/>
        <w:left w:val="none" w:sz="0" w:space="0" w:color="auto"/>
        <w:bottom w:val="none" w:sz="0" w:space="0" w:color="auto"/>
        <w:right w:val="none" w:sz="0" w:space="0" w:color="auto"/>
      </w:divBdr>
    </w:div>
    <w:div w:id="607085682">
      <w:marLeft w:val="0"/>
      <w:marRight w:val="0"/>
      <w:marTop w:val="0"/>
      <w:marBottom w:val="0"/>
      <w:divBdr>
        <w:top w:val="none" w:sz="0" w:space="0" w:color="auto"/>
        <w:left w:val="none" w:sz="0" w:space="0" w:color="auto"/>
        <w:bottom w:val="none" w:sz="0" w:space="0" w:color="auto"/>
        <w:right w:val="none" w:sz="0" w:space="0" w:color="auto"/>
      </w:divBdr>
    </w:div>
    <w:div w:id="607085683">
      <w:marLeft w:val="0"/>
      <w:marRight w:val="0"/>
      <w:marTop w:val="0"/>
      <w:marBottom w:val="0"/>
      <w:divBdr>
        <w:top w:val="none" w:sz="0" w:space="0" w:color="auto"/>
        <w:left w:val="none" w:sz="0" w:space="0" w:color="auto"/>
        <w:bottom w:val="none" w:sz="0" w:space="0" w:color="auto"/>
        <w:right w:val="none" w:sz="0" w:space="0" w:color="auto"/>
      </w:divBdr>
    </w:div>
    <w:div w:id="607085686">
      <w:marLeft w:val="0"/>
      <w:marRight w:val="0"/>
      <w:marTop w:val="0"/>
      <w:marBottom w:val="0"/>
      <w:divBdr>
        <w:top w:val="none" w:sz="0" w:space="0" w:color="auto"/>
        <w:left w:val="none" w:sz="0" w:space="0" w:color="auto"/>
        <w:bottom w:val="none" w:sz="0" w:space="0" w:color="auto"/>
        <w:right w:val="none" w:sz="0" w:space="0" w:color="auto"/>
      </w:divBdr>
    </w:div>
    <w:div w:id="607085687">
      <w:marLeft w:val="0"/>
      <w:marRight w:val="0"/>
      <w:marTop w:val="0"/>
      <w:marBottom w:val="0"/>
      <w:divBdr>
        <w:top w:val="none" w:sz="0" w:space="0" w:color="auto"/>
        <w:left w:val="none" w:sz="0" w:space="0" w:color="auto"/>
        <w:bottom w:val="none" w:sz="0" w:space="0" w:color="auto"/>
        <w:right w:val="none" w:sz="0" w:space="0" w:color="auto"/>
      </w:divBdr>
    </w:div>
    <w:div w:id="607085688">
      <w:marLeft w:val="0"/>
      <w:marRight w:val="0"/>
      <w:marTop w:val="0"/>
      <w:marBottom w:val="0"/>
      <w:divBdr>
        <w:top w:val="none" w:sz="0" w:space="0" w:color="auto"/>
        <w:left w:val="none" w:sz="0" w:space="0" w:color="auto"/>
        <w:bottom w:val="none" w:sz="0" w:space="0" w:color="auto"/>
        <w:right w:val="none" w:sz="0" w:space="0" w:color="auto"/>
      </w:divBdr>
    </w:div>
    <w:div w:id="607085691">
      <w:marLeft w:val="0"/>
      <w:marRight w:val="0"/>
      <w:marTop w:val="0"/>
      <w:marBottom w:val="0"/>
      <w:divBdr>
        <w:top w:val="none" w:sz="0" w:space="0" w:color="auto"/>
        <w:left w:val="none" w:sz="0" w:space="0" w:color="auto"/>
        <w:bottom w:val="none" w:sz="0" w:space="0" w:color="auto"/>
        <w:right w:val="none" w:sz="0" w:space="0" w:color="auto"/>
      </w:divBdr>
    </w:div>
    <w:div w:id="607085699">
      <w:marLeft w:val="0"/>
      <w:marRight w:val="0"/>
      <w:marTop w:val="0"/>
      <w:marBottom w:val="0"/>
      <w:divBdr>
        <w:top w:val="none" w:sz="0" w:space="0" w:color="auto"/>
        <w:left w:val="none" w:sz="0" w:space="0" w:color="auto"/>
        <w:bottom w:val="none" w:sz="0" w:space="0" w:color="auto"/>
        <w:right w:val="none" w:sz="0" w:space="0" w:color="auto"/>
      </w:divBdr>
    </w:div>
    <w:div w:id="607085703">
      <w:marLeft w:val="0"/>
      <w:marRight w:val="0"/>
      <w:marTop w:val="0"/>
      <w:marBottom w:val="0"/>
      <w:divBdr>
        <w:top w:val="none" w:sz="0" w:space="0" w:color="auto"/>
        <w:left w:val="none" w:sz="0" w:space="0" w:color="auto"/>
        <w:bottom w:val="none" w:sz="0" w:space="0" w:color="auto"/>
        <w:right w:val="none" w:sz="0" w:space="0" w:color="auto"/>
      </w:divBdr>
    </w:div>
    <w:div w:id="607085706">
      <w:marLeft w:val="0"/>
      <w:marRight w:val="0"/>
      <w:marTop w:val="0"/>
      <w:marBottom w:val="0"/>
      <w:divBdr>
        <w:top w:val="none" w:sz="0" w:space="0" w:color="auto"/>
        <w:left w:val="none" w:sz="0" w:space="0" w:color="auto"/>
        <w:bottom w:val="none" w:sz="0" w:space="0" w:color="auto"/>
        <w:right w:val="none" w:sz="0" w:space="0" w:color="auto"/>
      </w:divBdr>
      <w:divsChild>
        <w:div w:id="607085734">
          <w:marLeft w:val="0"/>
          <w:marRight w:val="0"/>
          <w:marTop w:val="0"/>
          <w:marBottom w:val="0"/>
          <w:divBdr>
            <w:top w:val="none" w:sz="0" w:space="0" w:color="auto"/>
            <w:left w:val="none" w:sz="0" w:space="0" w:color="auto"/>
            <w:bottom w:val="none" w:sz="0" w:space="0" w:color="auto"/>
            <w:right w:val="none" w:sz="0" w:space="0" w:color="auto"/>
          </w:divBdr>
          <w:divsChild>
            <w:div w:id="607085801">
              <w:marLeft w:val="0"/>
              <w:marRight w:val="0"/>
              <w:marTop w:val="0"/>
              <w:marBottom w:val="0"/>
              <w:divBdr>
                <w:top w:val="none" w:sz="0" w:space="0" w:color="auto"/>
                <w:left w:val="none" w:sz="0" w:space="0" w:color="auto"/>
                <w:bottom w:val="none" w:sz="0" w:space="0" w:color="auto"/>
                <w:right w:val="none" w:sz="0" w:space="0" w:color="auto"/>
              </w:divBdr>
              <w:divsChild>
                <w:div w:id="607085793">
                  <w:marLeft w:val="0"/>
                  <w:marRight w:val="0"/>
                  <w:marTop w:val="0"/>
                  <w:marBottom w:val="0"/>
                  <w:divBdr>
                    <w:top w:val="none" w:sz="0" w:space="0" w:color="auto"/>
                    <w:left w:val="none" w:sz="0" w:space="0" w:color="auto"/>
                    <w:bottom w:val="none" w:sz="0" w:space="0" w:color="auto"/>
                    <w:right w:val="none" w:sz="0" w:space="0" w:color="auto"/>
                  </w:divBdr>
                  <w:divsChild>
                    <w:div w:id="607085684">
                      <w:marLeft w:val="0"/>
                      <w:marRight w:val="0"/>
                      <w:marTop w:val="0"/>
                      <w:marBottom w:val="0"/>
                      <w:divBdr>
                        <w:top w:val="none" w:sz="0" w:space="8" w:color="auto"/>
                        <w:left w:val="single" w:sz="36" w:space="8" w:color="FFE1E1"/>
                        <w:bottom w:val="none" w:sz="0" w:space="8" w:color="auto"/>
                        <w:right w:val="none" w:sz="0" w:space="0" w:color="auto"/>
                      </w:divBdr>
                      <w:divsChild>
                        <w:div w:id="607085685">
                          <w:marLeft w:val="0"/>
                          <w:marRight w:val="0"/>
                          <w:marTop w:val="0"/>
                          <w:marBottom w:val="0"/>
                          <w:divBdr>
                            <w:top w:val="none" w:sz="0" w:space="0" w:color="auto"/>
                            <w:left w:val="none" w:sz="0" w:space="0" w:color="auto"/>
                            <w:bottom w:val="none" w:sz="0" w:space="0" w:color="auto"/>
                            <w:right w:val="none" w:sz="0" w:space="0" w:color="auto"/>
                          </w:divBdr>
                        </w:div>
                        <w:div w:id="607085689">
                          <w:marLeft w:val="0"/>
                          <w:marRight w:val="0"/>
                          <w:marTop w:val="0"/>
                          <w:marBottom w:val="0"/>
                          <w:divBdr>
                            <w:top w:val="none" w:sz="0" w:space="0" w:color="auto"/>
                            <w:left w:val="none" w:sz="0" w:space="0" w:color="auto"/>
                            <w:bottom w:val="none" w:sz="0" w:space="0" w:color="auto"/>
                            <w:right w:val="none" w:sz="0" w:space="0" w:color="auto"/>
                          </w:divBdr>
                        </w:div>
                        <w:div w:id="607085749">
                          <w:marLeft w:val="0"/>
                          <w:marRight w:val="0"/>
                          <w:marTop w:val="0"/>
                          <w:marBottom w:val="0"/>
                          <w:divBdr>
                            <w:top w:val="none" w:sz="0" w:space="0" w:color="auto"/>
                            <w:left w:val="none" w:sz="0" w:space="0" w:color="auto"/>
                            <w:bottom w:val="none" w:sz="0" w:space="0" w:color="auto"/>
                            <w:right w:val="none" w:sz="0" w:space="0" w:color="auto"/>
                          </w:divBdr>
                        </w:div>
                        <w:div w:id="607085750">
                          <w:marLeft w:val="0"/>
                          <w:marRight w:val="0"/>
                          <w:marTop w:val="0"/>
                          <w:marBottom w:val="0"/>
                          <w:divBdr>
                            <w:top w:val="none" w:sz="0" w:space="0" w:color="auto"/>
                            <w:left w:val="none" w:sz="0" w:space="0" w:color="auto"/>
                            <w:bottom w:val="none" w:sz="0" w:space="0" w:color="auto"/>
                            <w:right w:val="none" w:sz="0" w:space="0" w:color="auto"/>
                          </w:divBdr>
                        </w:div>
                        <w:div w:id="607085785">
                          <w:marLeft w:val="0"/>
                          <w:marRight w:val="0"/>
                          <w:marTop w:val="0"/>
                          <w:marBottom w:val="0"/>
                          <w:divBdr>
                            <w:top w:val="none" w:sz="0" w:space="0" w:color="auto"/>
                            <w:left w:val="none" w:sz="0" w:space="0" w:color="auto"/>
                            <w:bottom w:val="none" w:sz="0" w:space="0" w:color="auto"/>
                            <w:right w:val="none" w:sz="0" w:space="0" w:color="auto"/>
                          </w:divBdr>
                        </w:div>
                      </w:divsChild>
                    </w:div>
                    <w:div w:id="607085705">
                      <w:marLeft w:val="0"/>
                      <w:marRight w:val="0"/>
                      <w:marTop w:val="0"/>
                      <w:marBottom w:val="0"/>
                      <w:divBdr>
                        <w:top w:val="none" w:sz="0" w:space="8" w:color="auto"/>
                        <w:left w:val="single" w:sz="36" w:space="8" w:color="FFE1E1"/>
                        <w:bottom w:val="none" w:sz="0" w:space="8" w:color="auto"/>
                        <w:right w:val="none" w:sz="0" w:space="0" w:color="auto"/>
                      </w:divBdr>
                      <w:divsChild>
                        <w:div w:id="607085694">
                          <w:marLeft w:val="0"/>
                          <w:marRight w:val="0"/>
                          <w:marTop w:val="0"/>
                          <w:marBottom w:val="0"/>
                          <w:divBdr>
                            <w:top w:val="none" w:sz="0" w:space="0" w:color="auto"/>
                            <w:left w:val="none" w:sz="0" w:space="0" w:color="auto"/>
                            <w:bottom w:val="none" w:sz="0" w:space="0" w:color="auto"/>
                            <w:right w:val="none" w:sz="0" w:space="0" w:color="auto"/>
                          </w:divBdr>
                        </w:div>
                        <w:div w:id="607085696">
                          <w:marLeft w:val="0"/>
                          <w:marRight w:val="0"/>
                          <w:marTop w:val="0"/>
                          <w:marBottom w:val="0"/>
                          <w:divBdr>
                            <w:top w:val="none" w:sz="0" w:space="0" w:color="auto"/>
                            <w:left w:val="none" w:sz="0" w:space="0" w:color="auto"/>
                            <w:bottom w:val="none" w:sz="0" w:space="0" w:color="auto"/>
                            <w:right w:val="none" w:sz="0" w:space="0" w:color="auto"/>
                          </w:divBdr>
                        </w:div>
                        <w:div w:id="607085697">
                          <w:marLeft w:val="0"/>
                          <w:marRight w:val="0"/>
                          <w:marTop w:val="0"/>
                          <w:marBottom w:val="0"/>
                          <w:divBdr>
                            <w:top w:val="none" w:sz="0" w:space="0" w:color="auto"/>
                            <w:left w:val="none" w:sz="0" w:space="0" w:color="auto"/>
                            <w:bottom w:val="none" w:sz="0" w:space="0" w:color="auto"/>
                            <w:right w:val="none" w:sz="0" w:space="0" w:color="auto"/>
                          </w:divBdr>
                        </w:div>
                        <w:div w:id="607085704">
                          <w:marLeft w:val="0"/>
                          <w:marRight w:val="0"/>
                          <w:marTop w:val="0"/>
                          <w:marBottom w:val="0"/>
                          <w:divBdr>
                            <w:top w:val="none" w:sz="0" w:space="0" w:color="auto"/>
                            <w:left w:val="none" w:sz="0" w:space="0" w:color="auto"/>
                            <w:bottom w:val="none" w:sz="0" w:space="0" w:color="auto"/>
                            <w:right w:val="none" w:sz="0" w:space="0" w:color="auto"/>
                          </w:divBdr>
                        </w:div>
                        <w:div w:id="607085752">
                          <w:marLeft w:val="0"/>
                          <w:marRight w:val="0"/>
                          <w:marTop w:val="0"/>
                          <w:marBottom w:val="0"/>
                          <w:divBdr>
                            <w:top w:val="none" w:sz="0" w:space="0" w:color="auto"/>
                            <w:left w:val="none" w:sz="0" w:space="0" w:color="auto"/>
                            <w:bottom w:val="none" w:sz="0" w:space="0" w:color="auto"/>
                            <w:right w:val="none" w:sz="0" w:space="0" w:color="auto"/>
                          </w:divBdr>
                        </w:div>
                      </w:divsChild>
                    </w:div>
                    <w:div w:id="607085735">
                      <w:marLeft w:val="0"/>
                      <w:marRight w:val="0"/>
                      <w:marTop w:val="0"/>
                      <w:marBottom w:val="0"/>
                      <w:divBdr>
                        <w:top w:val="none" w:sz="0" w:space="8" w:color="auto"/>
                        <w:left w:val="single" w:sz="36" w:space="8" w:color="9CF4DC"/>
                        <w:bottom w:val="none" w:sz="0" w:space="8" w:color="auto"/>
                        <w:right w:val="none" w:sz="0" w:space="0" w:color="auto"/>
                      </w:divBdr>
                      <w:divsChild>
                        <w:div w:id="607085680">
                          <w:marLeft w:val="0"/>
                          <w:marRight w:val="0"/>
                          <w:marTop w:val="0"/>
                          <w:marBottom w:val="0"/>
                          <w:divBdr>
                            <w:top w:val="none" w:sz="0" w:space="0" w:color="auto"/>
                            <w:left w:val="none" w:sz="0" w:space="0" w:color="auto"/>
                            <w:bottom w:val="none" w:sz="0" w:space="0" w:color="auto"/>
                            <w:right w:val="none" w:sz="0" w:space="0" w:color="auto"/>
                          </w:divBdr>
                        </w:div>
                        <w:div w:id="607085715">
                          <w:marLeft w:val="0"/>
                          <w:marRight w:val="0"/>
                          <w:marTop w:val="0"/>
                          <w:marBottom w:val="0"/>
                          <w:divBdr>
                            <w:top w:val="none" w:sz="0" w:space="0" w:color="auto"/>
                            <w:left w:val="none" w:sz="0" w:space="0" w:color="auto"/>
                            <w:bottom w:val="none" w:sz="0" w:space="0" w:color="auto"/>
                            <w:right w:val="none" w:sz="0" w:space="0" w:color="auto"/>
                          </w:divBdr>
                        </w:div>
                        <w:div w:id="607085722">
                          <w:marLeft w:val="0"/>
                          <w:marRight w:val="0"/>
                          <w:marTop w:val="0"/>
                          <w:marBottom w:val="0"/>
                          <w:divBdr>
                            <w:top w:val="none" w:sz="0" w:space="0" w:color="auto"/>
                            <w:left w:val="none" w:sz="0" w:space="0" w:color="auto"/>
                            <w:bottom w:val="none" w:sz="0" w:space="0" w:color="auto"/>
                            <w:right w:val="none" w:sz="0" w:space="0" w:color="auto"/>
                          </w:divBdr>
                        </w:div>
                        <w:div w:id="607085733">
                          <w:marLeft w:val="0"/>
                          <w:marRight w:val="0"/>
                          <w:marTop w:val="0"/>
                          <w:marBottom w:val="0"/>
                          <w:divBdr>
                            <w:top w:val="none" w:sz="0" w:space="0" w:color="auto"/>
                            <w:left w:val="none" w:sz="0" w:space="0" w:color="auto"/>
                            <w:bottom w:val="none" w:sz="0" w:space="0" w:color="auto"/>
                            <w:right w:val="none" w:sz="0" w:space="0" w:color="auto"/>
                          </w:divBdr>
                        </w:div>
                        <w:div w:id="607085755">
                          <w:marLeft w:val="0"/>
                          <w:marRight w:val="0"/>
                          <w:marTop w:val="0"/>
                          <w:marBottom w:val="0"/>
                          <w:divBdr>
                            <w:top w:val="none" w:sz="0" w:space="0" w:color="auto"/>
                            <w:left w:val="none" w:sz="0" w:space="0" w:color="auto"/>
                            <w:bottom w:val="none" w:sz="0" w:space="0" w:color="auto"/>
                            <w:right w:val="none" w:sz="0" w:space="0" w:color="auto"/>
                          </w:divBdr>
                        </w:div>
                      </w:divsChild>
                    </w:div>
                    <w:div w:id="607085784">
                      <w:marLeft w:val="0"/>
                      <w:marRight w:val="0"/>
                      <w:marTop w:val="0"/>
                      <w:marBottom w:val="0"/>
                      <w:divBdr>
                        <w:top w:val="none" w:sz="0" w:space="8" w:color="auto"/>
                        <w:left w:val="single" w:sz="36" w:space="8" w:color="9CF4DC"/>
                        <w:bottom w:val="none" w:sz="0" w:space="8" w:color="auto"/>
                        <w:right w:val="none" w:sz="0" w:space="0" w:color="auto"/>
                      </w:divBdr>
                      <w:divsChild>
                        <w:div w:id="607085700">
                          <w:marLeft w:val="0"/>
                          <w:marRight w:val="0"/>
                          <w:marTop w:val="0"/>
                          <w:marBottom w:val="0"/>
                          <w:divBdr>
                            <w:top w:val="none" w:sz="0" w:space="0" w:color="auto"/>
                            <w:left w:val="none" w:sz="0" w:space="0" w:color="auto"/>
                            <w:bottom w:val="none" w:sz="0" w:space="0" w:color="auto"/>
                            <w:right w:val="none" w:sz="0" w:space="0" w:color="auto"/>
                          </w:divBdr>
                        </w:div>
                        <w:div w:id="607085708">
                          <w:marLeft w:val="0"/>
                          <w:marRight w:val="0"/>
                          <w:marTop w:val="0"/>
                          <w:marBottom w:val="0"/>
                          <w:divBdr>
                            <w:top w:val="none" w:sz="0" w:space="0" w:color="auto"/>
                            <w:left w:val="none" w:sz="0" w:space="0" w:color="auto"/>
                            <w:bottom w:val="none" w:sz="0" w:space="0" w:color="auto"/>
                            <w:right w:val="none" w:sz="0" w:space="0" w:color="auto"/>
                          </w:divBdr>
                        </w:div>
                        <w:div w:id="607085710">
                          <w:marLeft w:val="0"/>
                          <w:marRight w:val="0"/>
                          <w:marTop w:val="0"/>
                          <w:marBottom w:val="0"/>
                          <w:divBdr>
                            <w:top w:val="none" w:sz="0" w:space="0" w:color="auto"/>
                            <w:left w:val="none" w:sz="0" w:space="0" w:color="auto"/>
                            <w:bottom w:val="none" w:sz="0" w:space="0" w:color="auto"/>
                            <w:right w:val="none" w:sz="0" w:space="0" w:color="auto"/>
                          </w:divBdr>
                        </w:div>
                        <w:div w:id="607085713">
                          <w:marLeft w:val="0"/>
                          <w:marRight w:val="0"/>
                          <w:marTop w:val="0"/>
                          <w:marBottom w:val="0"/>
                          <w:divBdr>
                            <w:top w:val="none" w:sz="0" w:space="0" w:color="auto"/>
                            <w:left w:val="none" w:sz="0" w:space="0" w:color="auto"/>
                            <w:bottom w:val="none" w:sz="0" w:space="0" w:color="auto"/>
                            <w:right w:val="none" w:sz="0" w:space="0" w:color="auto"/>
                          </w:divBdr>
                        </w:div>
                        <w:div w:id="6070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85759">
          <w:marLeft w:val="0"/>
          <w:marRight w:val="0"/>
          <w:marTop w:val="0"/>
          <w:marBottom w:val="0"/>
          <w:divBdr>
            <w:top w:val="none" w:sz="0" w:space="0" w:color="auto"/>
            <w:left w:val="none" w:sz="0" w:space="0" w:color="auto"/>
            <w:bottom w:val="none" w:sz="0" w:space="0" w:color="auto"/>
            <w:right w:val="none" w:sz="0" w:space="0" w:color="auto"/>
          </w:divBdr>
          <w:divsChild>
            <w:div w:id="607085790">
              <w:marLeft w:val="0"/>
              <w:marRight w:val="0"/>
              <w:marTop w:val="0"/>
              <w:marBottom w:val="0"/>
              <w:divBdr>
                <w:top w:val="none" w:sz="0" w:space="0" w:color="auto"/>
                <w:left w:val="none" w:sz="0" w:space="0" w:color="auto"/>
                <w:bottom w:val="none" w:sz="0" w:space="0" w:color="auto"/>
                <w:right w:val="none" w:sz="0" w:space="0" w:color="auto"/>
              </w:divBdr>
            </w:div>
          </w:divsChild>
        </w:div>
        <w:div w:id="607085798">
          <w:marLeft w:val="0"/>
          <w:marRight w:val="0"/>
          <w:marTop w:val="0"/>
          <w:marBottom w:val="300"/>
          <w:divBdr>
            <w:top w:val="none" w:sz="0" w:space="11" w:color="auto"/>
            <w:left w:val="none" w:sz="0" w:space="0" w:color="auto"/>
            <w:bottom w:val="single" w:sz="6" w:space="8" w:color="000000"/>
            <w:right w:val="none" w:sz="0" w:space="0" w:color="auto"/>
          </w:divBdr>
          <w:divsChild>
            <w:div w:id="607085707">
              <w:marLeft w:val="0"/>
              <w:marRight w:val="0"/>
              <w:marTop w:val="0"/>
              <w:marBottom w:val="0"/>
              <w:divBdr>
                <w:top w:val="none" w:sz="0" w:space="0" w:color="auto"/>
                <w:left w:val="none" w:sz="0" w:space="0" w:color="auto"/>
                <w:bottom w:val="none" w:sz="0" w:space="0" w:color="auto"/>
                <w:right w:val="none" w:sz="0" w:space="0" w:color="auto"/>
              </w:divBdr>
            </w:div>
            <w:div w:id="607085718">
              <w:marLeft w:val="0"/>
              <w:marRight w:val="0"/>
              <w:marTop w:val="0"/>
              <w:marBottom w:val="0"/>
              <w:divBdr>
                <w:top w:val="none" w:sz="0" w:space="0" w:color="auto"/>
                <w:left w:val="none" w:sz="0" w:space="0" w:color="auto"/>
                <w:bottom w:val="none" w:sz="0" w:space="0" w:color="auto"/>
                <w:right w:val="none" w:sz="0" w:space="0" w:color="auto"/>
              </w:divBdr>
            </w:div>
            <w:div w:id="607085773">
              <w:marLeft w:val="0"/>
              <w:marRight w:val="0"/>
              <w:marTop w:val="0"/>
              <w:marBottom w:val="0"/>
              <w:divBdr>
                <w:top w:val="none" w:sz="0" w:space="0" w:color="auto"/>
                <w:left w:val="none" w:sz="0" w:space="0" w:color="auto"/>
                <w:bottom w:val="none" w:sz="0" w:space="0" w:color="auto"/>
                <w:right w:val="none" w:sz="0" w:space="0" w:color="auto"/>
              </w:divBdr>
            </w:div>
            <w:div w:id="607085775">
              <w:marLeft w:val="0"/>
              <w:marRight w:val="0"/>
              <w:marTop w:val="0"/>
              <w:marBottom w:val="0"/>
              <w:divBdr>
                <w:top w:val="none" w:sz="0" w:space="0" w:color="auto"/>
                <w:left w:val="none" w:sz="0" w:space="0" w:color="auto"/>
                <w:bottom w:val="none" w:sz="0" w:space="0" w:color="auto"/>
                <w:right w:val="none" w:sz="0" w:space="0" w:color="auto"/>
              </w:divBdr>
            </w:div>
            <w:div w:id="6070857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7085711">
      <w:marLeft w:val="0"/>
      <w:marRight w:val="0"/>
      <w:marTop w:val="0"/>
      <w:marBottom w:val="0"/>
      <w:divBdr>
        <w:top w:val="none" w:sz="0" w:space="0" w:color="auto"/>
        <w:left w:val="none" w:sz="0" w:space="0" w:color="auto"/>
        <w:bottom w:val="none" w:sz="0" w:space="0" w:color="auto"/>
        <w:right w:val="none" w:sz="0" w:space="0" w:color="auto"/>
      </w:divBdr>
    </w:div>
    <w:div w:id="607085712">
      <w:marLeft w:val="0"/>
      <w:marRight w:val="0"/>
      <w:marTop w:val="0"/>
      <w:marBottom w:val="0"/>
      <w:divBdr>
        <w:top w:val="none" w:sz="0" w:space="0" w:color="auto"/>
        <w:left w:val="none" w:sz="0" w:space="0" w:color="auto"/>
        <w:bottom w:val="none" w:sz="0" w:space="0" w:color="auto"/>
        <w:right w:val="none" w:sz="0" w:space="0" w:color="auto"/>
      </w:divBdr>
    </w:div>
    <w:div w:id="607085714">
      <w:marLeft w:val="0"/>
      <w:marRight w:val="0"/>
      <w:marTop w:val="0"/>
      <w:marBottom w:val="0"/>
      <w:divBdr>
        <w:top w:val="none" w:sz="0" w:space="0" w:color="auto"/>
        <w:left w:val="none" w:sz="0" w:space="0" w:color="auto"/>
        <w:bottom w:val="none" w:sz="0" w:space="0" w:color="auto"/>
        <w:right w:val="none" w:sz="0" w:space="0" w:color="auto"/>
      </w:divBdr>
    </w:div>
    <w:div w:id="607085716">
      <w:marLeft w:val="0"/>
      <w:marRight w:val="0"/>
      <w:marTop w:val="0"/>
      <w:marBottom w:val="0"/>
      <w:divBdr>
        <w:top w:val="none" w:sz="0" w:space="0" w:color="auto"/>
        <w:left w:val="none" w:sz="0" w:space="0" w:color="auto"/>
        <w:bottom w:val="none" w:sz="0" w:space="0" w:color="auto"/>
        <w:right w:val="none" w:sz="0" w:space="0" w:color="auto"/>
      </w:divBdr>
    </w:div>
    <w:div w:id="607085719">
      <w:marLeft w:val="0"/>
      <w:marRight w:val="0"/>
      <w:marTop w:val="0"/>
      <w:marBottom w:val="0"/>
      <w:divBdr>
        <w:top w:val="none" w:sz="0" w:space="0" w:color="auto"/>
        <w:left w:val="none" w:sz="0" w:space="0" w:color="auto"/>
        <w:bottom w:val="none" w:sz="0" w:space="0" w:color="auto"/>
        <w:right w:val="none" w:sz="0" w:space="0" w:color="auto"/>
      </w:divBdr>
    </w:div>
    <w:div w:id="607085721">
      <w:marLeft w:val="0"/>
      <w:marRight w:val="0"/>
      <w:marTop w:val="0"/>
      <w:marBottom w:val="0"/>
      <w:divBdr>
        <w:top w:val="none" w:sz="0" w:space="0" w:color="auto"/>
        <w:left w:val="none" w:sz="0" w:space="0" w:color="auto"/>
        <w:bottom w:val="none" w:sz="0" w:space="0" w:color="auto"/>
        <w:right w:val="none" w:sz="0" w:space="0" w:color="auto"/>
      </w:divBdr>
    </w:div>
    <w:div w:id="607085723">
      <w:marLeft w:val="0"/>
      <w:marRight w:val="0"/>
      <w:marTop w:val="0"/>
      <w:marBottom w:val="0"/>
      <w:divBdr>
        <w:top w:val="none" w:sz="0" w:space="0" w:color="auto"/>
        <w:left w:val="none" w:sz="0" w:space="0" w:color="auto"/>
        <w:bottom w:val="none" w:sz="0" w:space="0" w:color="auto"/>
        <w:right w:val="none" w:sz="0" w:space="0" w:color="auto"/>
      </w:divBdr>
    </w:div>
    <w:div w:id="607085725">
      <w:marLeft w:val="0"/>
      <w:marRight w:val="0"/>
      <w:marTop w:val="0"/>
      <w:marBottom w:val="0"/>
      <w:divBdr>
        <w:top w:val="none" w:sz="0" w:space="0" w:color="auto"/>
        <w:left w:val="none" w:sz="0" w:space="0" w:color="auto"/>
        <w:bottom w:val="none" w:sz="0" w:space="0" w:color="auto"/>
        <w:right w:val="none" w:sz="0" w:space="0" w:color="auto"/>
      </w:divBdr>
    </w:div>
    <w:div w:id="607085727">
      <w:marLeft w:val="0"/>
      <w:marRight w:val="0"/>
      <w:marTop w:val="0"/>
      <w:marBottom w:val="0"/>
      <w:divBdr>
        <w:top w:val="none" w:sz="0" w:space="0" w:color="auto"/>
        <w:left w:val="none" w:sz="0" w:space="0" w:color="auto"/>
        <w:bottom w:val="none" w:sz="0" w:space="0" w:color="auto"/>
        <w:right w:val="none" w:sz="0" w:space="0" w:color="auto"/>
      </w:divBdr>
    </w:div>
    <w:div w:id="607085728">
      <w:marLeft w:val="0"/>
      <w:marRight w:val="0"/>
      <w:marTop w:val="0"/>
      <w:marBottom w:val="0"/>
      <w:divBdr>
        <w:top w:val="none" w:sz="0" w:space="0" w:color="auto"/>
        <w:left w:val="none" w:sz="0" w:space="0" w:color="auto"/>
        <w:bottom w:val="none" w:sz="0" w:space="0" w:color="auto"/>
        <w:right w:val="none" w:sz="0" w:space="0" w:color="auto"/>
      </w:divBdr>
    </w:div>
    <w:div w:id="607085729">
      <w:marLeft w:val="0"/>
      <w:marRight w:val="0"/>
      <w:marTop w:val="0"/>
      <w:marBottom w:val="0"/>
      <w:divBdr>
        <w:top w:val="none" w:sz="0" w:space="0" w:color="auto"/>
        <w:left w:val="none" w:sz="0" w:space="0" w:color="auto"/>
        <w:bottom w:val="none" w:sz="0" w:space="0" w:color="auto"/>
        <w:right w:val="none" w:sz="0" w:space="0" w:color="auto"/>
      </w:divBdr>
    </w:div>
    <w:div w:id="607085736">
      <w:marLeft w:val="0"/>
      <w:marRight w:val="0"/>
      <w:marTop w:val="0"/>
      <w:marBottom w:val="0"/>
      <w:divBdr>
        <w:top w:val="none" w:sz="0" w:space="0" w:color="auto"/>
        <w:left w:val="none" w:sz="0" w:space="0" w:color="auto"/>
        <w:bottom w:val="none" w:sz="0" w:space="0" w:color="auto"/>
        <w:right w:val="none" w:sz="0" w:space="0" w:color="auto"/>
      </w:divBdr>
    </w:div>
    <w:div w:id="607085738">
      <w:marLeft w:val="0"/>
      <w:marRight w:val="0"/>
      <w:marTop w:val="0"/>
      <w:marBottom w:val="0"/>
      <w:divBdr>
        <w:top w:val="none" w:sz="0" w:space="0" w:color="auto"/>
        <w:left w:val="none" w:sz="0" w:space="0" w:color="auto"/>
        <w:bottom w:val="none" w:sz="0" w:space="0" w:color="auto"/>
        <w:right w:val="none" w:sz="0" w:space="0" w:color="auto"/>
      </w:divBdr>
    </w:div>
    <w:div w:id="607085739">
      <w:marLeft w:val="0"/>
      <w:marRight w:val="0"/>
      <w:marTop w:val="0"/>
      <w:marBottom w:val="0"/>
      <w:divBdr>
        <w:top w:val="none" w:sz="0" w:space="0" w:color="auto"/>
        <w:left w:val="none" w:sz="0" w:space="0" w:color="auto"/>
        <w:bottom w:val="none" w:sz="0" w:space="0" w:color="auto"/>
        <w:right w:val="none" w:sz="0" w:space="0" w:color="auto"/>
      </w:divBdr>
    </w:div>
    <w:div w:id="607085741">
      <w:marLeft w:val="0"/>
      <w:marRight w:val="0"/>
      <w:marTop w:val="0"/>
      <w:marBottom w:val="0"/>
      <w:divBdr>
        <w:top w:val="none" w:sz="0" w:space="0" w:color="auto"/>
        <w:left w:val="none" w:sz="0" w:space="0" w:color="auto"/>
        <w:bottom w:val="none" w:sz="0" w:space="0" w:color="auto"/>
        <w:right w:val="none" w:sz="0" w:space="0" w:color="auto"/>
      </w:divBdr>
      <w:divsChild>
        <w:div w:id="607085780">
          <w:marLeft w:val="0"/>
          <w:marRight w:val="0"/>
          <w:marTop w:val="135"/>
          <w:marBottom w:val="0"/>
          <w:divBdr>
            <w:top w:val="none" w:sz="0" w:space="0" w:color="auto"/>
            <w:left w:val="none" w:sz="0" w:space="0" w:color="auto"/>
            <w:bottom w:val="none" w:sz="0" w:space="0" w:color="auto"/>
            <w:right w:val="none" w:sz="0" w:space="0" w:color="auto"/>
          </w:divBdr>
        </w:div>
      </w:divsChild>
    </w:div>
    <w:div w:id="607085743">
      <w:marLeft w:val="0"/>
      <w:marRight w:val="0"/>
      <w:marTop w:val="0"/>
      <w:marBottom w:val="0"/>
      <w:divBdr>
        <w:top w:val="none" w:sz="0" w:space="0" w:color="auto"/>
        <w:left w:val="none" w:sz="0" w:space="0" w:color="auto"/>
        <w:bottom w:val="none" w:sz="0" w:space="0" w:color="auto"/>
        <w:right w:val="none" w:sz="0" w:space="0" w:color="auto"/>
      </w:divBdr>
    </w:div>
    <w:div w:id="607085744">
      <w:marLeft w:val="0"/>
      <w:marRight w:val="0"/>
      <w:marTop w:val="0"/>
      <w:marBottom w:val="0"/>
      <w:divBdr>
        <w:top w:val="none" w:sz="0" w:space="0" w:color="auto"/>
        <w:left w:val="none" w:sz="0" w:space="0" w:color="auto"/>
        <w:bottom w:val="none" w:sz="0" w:space="0" w:color="auto"/>
        <w:right w:val="none" w:sz="0" w:space="0" w:color="auto"/>
      </w:divBdr>
    </w:div>
    <w:div w:id="607085745">
      <w:marLeft w:val="0"/>
      <w:marRight w:val="0"/>
      <w:marTop w:val="0"/>
      <w:marBottom w:val="0"/>
      <w:divBdr>
        <w:top w:val="none" w:sz="0" w:space="0" w:color="auto"/>
        <w:left w:val="none" w:sz="0" w:space="0" w:color="auto"/>
        <w:bottom w:val="none" w:sz="0" w:space="0" w:color="auto"/>
        <w:right w:val="none" w:sz="0" w:space="0" w:color="auto"/>
      </w:divBdr>
    </w:div>
    <w:div w:id="607085746">
      <w:marLeft w:val="0"/>
      <w:marRight w:val="0"/>
      <w:marTop w:val="0"/>
      <w:marBottom w:val="0"/>
      <w:divBdr>
        <w:top w:val="none" w:sz="0" w:space="0" w:color="auto"/>
        <w:left w:val="none" w:sz="0" w:space="0" w:color="auto"/>
        <w:bottom w:val="none" w:sz="0" w:space="0" w:color="auto"/>
        <w:right w:val="none" w:sz="0" w:space="0" w:color="auto"/>
      </w:divBdr>
    </w:div>
    <w:div w:id="607085747">
      <w:marLeft w:val="0"/>
      <w:marRight w:val="0"/>
      <w:marTop w:val="0"/>
      <w:marBottom w:val="0"/>
      <w:divBdr>
        <w:top w:val="none" w:sz="0" w:space="0" w:color="auto"/>
        <w:left w:val="none" w:sz="0" w:space="0" w:color="auto"/>
        <w:bottom w:val="none" w:sz="0" w:space="0" w:color="auto"/>
        <w:right w:val="none" w:sz="0" w:space="0" w:color="auto"/>
      </w:divBdr>
    </w:div>
    <w:div w:id="607085748">
      <w:marLeft w:val="0"/>
      <w:marRight w:val="0"/>
      <w:marTop w:val="0"/>
      <w:marBottom w:val="0"/>
      <w:divBdr>
        <w:top w:val="none" w:sz="0" w:space="0" w:color="auto"/>
        <w:left w:val="none" w:sz="0" w:space="0" w:color="auto"/>
        <w:bottom w:val="none" w:sz="0" w:space="0" w:color="auto"/>
        <w:right w:val="none" w:sz="0" w:space="0" w:color="auto"/>
      </w:divBdr>
    </w:div>
    <w:div w:id="607085751">
      <w:marLeft w:val="0"/>
      <w:marRight w:val="0"/>
      <w:marTop w:val="0"/>
      <w:marBottom w:val="0"/>
      <w:divBdr>
        <w:top w:val="none" w:sz="0" w:space="0" w:color="auto"/>
        <w:left w:val="none" w:sz="0" w:space="0" w:color="auto"/>
        <w:bottom w:val="none" w:sz="0" w:space="0" w:color="auto"/>
        <w:right w:val="none" w:sz="0" w:space="0" w:color="auto"/>
      </w:divBdr>
    </w:div>
    <w:div w:id="607085753">
      <w:marLeft w:val="0"/>
      <w:marRight w:val="0"/>
      <w:marTop w:val="0"/>
      <w:marBottom w:val="0"/>
      <w:divBdr>
        <w:top w:val="none" w:sz="0" w:space="0" w:color="auto"/>
        <w:left w:val="none" w:sz="0" w:space="0" w:color="auto"/>
        <w:bottom w:val="none" w:sz="0" w:space="0" w:color="auto"/>
        <w:right w:val="none" w:sz="0" w:space="0" w:color="auto"/>
      </w:divBdr>
    </w:div>
    <w:div w:id="607085754">
      <w:marLeft w:val="0"/>
      <w:marRight w:val="0"/>
      <w:marTop w:val="0"/>
      <w:marBottom w:val="0"/>
      <w:divBdr>
        <w:top w:val="none" w:sz="0" w:space="0" w:color="auto"/>
        <w:left w:val="none" w:sz="0" w:space="0" w:color="auto"/>
        <w:bottom w:val="none" w:sz="0" w:space="0" w:color="auto"/>
        <w:right w:val="none" w:sz="0" w:space="0" w:color="auto"/>
      </w:divBdr>
    </w:div>
    <w:div w:id="607085756">
      <w:marLeft w:val="0"/>
      <w:marRight w:val="0"/>
      <w:marTop w:val="0"/>
      <w:marBottom w:val="0"/>
      <w:divBdr>
        <w:top w:val="none" w:sz="0" w:space="0" w:color="auto"/>
        <w:left w:val="none" w:sz="0" w:space="0" w:color="auto"/>
        <w:bottom w:val="none" w:sz="0" w:space="0" w:color="auto"/>
        <w:right w:val="none" w:sz="0" w:space="0" w:color="auto"/>
      </w:divBdr>
    </w:div>
    <w:div w:id="607085762">
      <w:marLeft w:val="0"/>
      <w:marRight w:val="0"/>
      <w:marTop w:val="0"/>
      <w:marBottom w:val="0"/>
      <w:divBdr>
        <w:top w:val="none" w:sz="0" w:space="0" w:color="auto"/>
        <w:left w:val="none" w:sz="0" w:space="0" w:color="auto"/>
        <w:bottom w:val="none" w:sz="0" w:space="0" w:color="auto"/>
        <w:right w:val="none" w:sz="0" w:space="0" w:color="auto"/>
      </w:divBdr>
    </w:div>
    <w:div w:id="607085763">
      <w:marLeft w:val="0"/>
      <w:marRight w:val="0"/>
      <w:marTop w:val="0"/>
      <w:marBottom w:val="0"/>
      <w:divBdr>
        <w:top w:val="none" w:sz="0" w:space="0" w:color="auto"/>
        <w:left w:val="none" w:sz="0" w:space="0" w:color="auto"/>
        <w:bottom w:val="none" w:sz="0" w:space="0" w:color="auto"/>
        <w:right w:val="none" w:sz="0" w:space="0" w:color="auto"/>
      </w:divBdr>
    </w:div>
    <w:div w:id="607085765">
      <w:marLeft w:val="0"/>
      <w:marRight w:val="0"/>
      <w:marTop w:val="0"/>
      <w:marBottom w:val="0"/>
      <w:divBdr>
        <w:top w:val="none" w:sz="0" w:space="0" w:color="auto"/>
        <w:left w:val="none" w:sz="0" w:space="0" w:color="auto"/>
        <w:bottom w:val="none" w:sz="0" w:space="0" w:color="auto"/>
        <w:right w:val="none" w:sz="0" w:space="0" w:color="auto"/>
      </w:divBdr>
    </w:div>
    <w:div w:id="607085766">
      <w:marLeft w:val="0"/>
      <w:marRight w:val="0"/>
      <w:marTop w:val="0"/>
      <w:marBottom w:val="0"/>
      <w:divBdr>
        <w:top w:val="none" w:sz="0" w:space="0" w:color="auto"/>
        <w:left w:val="none" w:sz="0" w:space="0" w:color="auto"/>
        <w:bottom w:val="none" w:sz="0" w:space="0" w:color="auto"/>
        <w:right w:val="none" w:sz="0" w:space="0" w:color="auto"/>
      </w:divBdr>
    </w:div>
    <w:div w:id="607085767">
      <w:marLeft w:val="0"/>
      <w:marRight w:val="0"/>
      <w:marTop w:val="0"/>
      <w:marBottom w:val="0"/>
      <w:divBdr>
        <w:top w:val="none" w:sz="0" w:space="0" w:color="auto"/>
        <w:left w:val="none" w:sz="0" w:space="0" w:color="auto"/>
        <w:bottom w:val="none" w:sz="0" w:space="0" w:color="auto"/>
        <w:right w:val="none" w:sz="0" w:space="0" w:color="auto"/>
      </w:divBdr>
    </w:div>
    <w:div w:id="607085769">
      <w:marLeft w:val="0"/>
      <w:marRight w:val="0"/>
      <w:marTop w:val="0"/>
      <w:marBottom w:val="0"/>
      <w:divBdr>
        <w:top w:val="none" w:sz="0" w:space="0" w:color="auto"/>
        <w:left w:val="none" w:sz="0" w:space="0" w:color="auto"/>
        <w:bottom w:val="none" w:sz="0" w:space="0" w:color="auto"/>
        <w:right w:val="none" w:sz="0" w:space="0" w:color="auto"/>
      </w:divBdr>
    </w:div>
    <w:div w:id="607085770">
      <w:marLeft w:val="0"/>
      <w:marRight w:val="0"/>
      <w:marTop w:val="0"/>
      <w:marBottom w:val="0"/>
      <w:divBdr>
        <w:top w:val="none" w:sz="0" w:space="0" w:color="auto"/>
        <w:left w:val="none" w:sz="0" w:space="0" w:color="auto"/>
        <w:bottom w:val="none" w:sz="0" w:space="0" w:color="auto"/>
        <w:right w:val="none" w:sz="0" w:space="0" w:color="auto"/>
      </w:divBdr>
    </w:div>
    <w:div w:id="607085772">
      <w:marLeft w:val="0"/>
      <w:marRight w:val="0"/>
      <w:marTop w:val="0"/>
      <w:marBottom w:val="0"/>
      <w:divBdr>
        <w:top w:val="none" w:sz="0" w:space="0" w:color="auto"/>
        <w:left w:val="none" w:sz="0" w:space="0" w:color="auto"/>
        <w:bottom w:val="none" w:sz="0" w:space="0" w:color="auto"/>
        <w:right w:val="none" w:sz="0" w:space="0" w:color="auto"/>
      </w:divBdr>
    </w:div>
    <w:div w:id="607085774">
      <w:marLeft w:val="0"/>
      <w:marRight w:val="0"/>
      <w:marTop w:val="0"/>
      <w:marBottom w:val="0"/>
      <w:divBdr>
        <w:top w:val="none" w:sz="0" w:space="0" w:color="auto"/>
        <w:left w:val="none" w:sz="0" w:space="0" w:color="auto"/>
        <w:bottom w:val="none" w:sz="0" w:space="0" w:color="auto"/>
        <w:right w:val="none" w:sz="0" w:space="0" w:color="auto"/>
      </w:divBdr>
    </w:div>
    <w:div w:id="607085777">
      <w:marLeft w:val="0"/>
      <w:marRight w:val="0"/>
      <w:marTop w:val="0"/>
      <w:marBottom w:val="0"/>
      <w:divBdr>
        <w:top w:val="none" w:sz="0" w:space="0" w:color="auto"/>
        <w:left w:val="none" w:sz="0" w:space="0" w:color="auto"/>
        <w:bottom w:val="none" w:sz="0" w:space="0" w:color="auto"/>
        <w:right w:val="none" w:sz="0" w:space="0" w:color="auto"/>
      </w:divBdr>
    </w:div>
    <w:div w:id="607085778">
      <w:marLeft w:val="0"/>
      <w:marRight w:val="0"/>
      <w:marTop w:val="0"/>
      <w:marBottom w:val="0"/>
      <w:divBdr>
        <w:top w:val="none" w:sz="0" w:space="0" w:color="auto"/>
        <w:left w:val="none" w:sz="0" w:space="0" w:color="auto"/>
        <w:bottom w:val="none" w:sz="0" w:space="0" w:color="auto"/>
        <w:right w:val="none" w:sz="0" w:space="0" w:color="auto"/>
      </w:divBdr>
    </w:div>
    <w:div w:id="607085781">
      <w:marLeft w:val="0"/>
      <w:marRight w:val="0"/>
      <w:marTop w:val="0"/>
      <w:marBottom w:val="0"/>
      <w:divBdr>
        <w:top w:val="none" w:sz="0" w:space="0" w:color="auto"/>
        <w:left w:val="none" w:sz="0" w:space="0" w:color="auto"/>
        <w:bottom w:val="none" w:sz="0" w:space="0" w:color="auto"/>
        <w:right w:val="none" w:sz="0" w:space="0" w:color="auto"/>
      </w:divBdr>
    </w:div>
    <w:div w:id="607085782">
      <w:marLeft w:val="0"/>
      <w:marRight w:val="0"/>
      <w:marTop w:val="0"/>
      <w:marBottom w:val="0"/>
      <w:divBdr>
        <w:top w:val="none" w:sz="0" w:space="0" w:color="auto"/>
        <w:left w:val="none" w:sz="0" w:space="0" w:color="auto"/>
        <w:bottom w:val="none" w:sz="0" w:space="0" w:color="auto"/>
        <w:right w:val="none" w:sz="0" w:space="0" w:color="auto"/>
      </w:divBdr>
      <w:divsChild>
        <w:div w:id="607085761">
          <w:marLeft w:val="0"/>
          <w:marRight w:val="0"/>
          <w:marTop w:val="0"/>
          <w:marBottom w:val="0"/>
          <w:divBdr>
            <w:top w:val="none" w:sz="0" w:space="0" w:color="auto"/>
            <w:left w:val="none" w:sz="0" w:space="0" w:color="auto"/>
            <w:bottom w:val="none" w:sz="0" w:space="0" w:color="auto"/>
            <w:right w:val="none" w:sz="0" w:space="0" w:color="auto"/>
          </w:divBdr>
          <w:divsChild>
            <w:div w:id="607085742">
              <w:marLeft w:val="0"/>
              <w:marRight w:val="0"/>
              <w:marTop w:val="0"/>
              <w:marBottom w:val="0"/>
              <w:divBdr>
                <w:top w:val="none" w:sz="0" w:space="0" w:color="auto"/>
                <w:left w:val="none" w:sz="0" w:space="0" w:color="auto"/>
                <w:bottom w:val="none" w:sz="0" w:space="0" w:color="auto"/>
                <w:right w:val="none" w:sz="0" w:space="0" w:color="auto"/>
              </w:divBdr>
            </w:div>
          </w:divsChild>
        </w:div>
        <w:div w:id="607085776">
          <w:marLeft w:val="0"/>
          <w:marRight w:val="0"/>
          <w:marTop w:val="0"/>
          <w:marBottom w:val="300"/>
          <w:divBdr>
            <w:top w:val="none" w:sz="0" w:space="11" w:color="auto"/>
            <w:left w:val="none" w:sz="0" w:space="0" w:color="auto"/>
            <w:bottom w:val="single" w:sz="6" w:space="8" w:color="000000"/>
            <w:right w:val="none" w:sz="0" w:space="0" w:color="auto"/>
          </w:divBdr>
          <w:divsChild>
            <w:div w:id="607085690">
              <w:marLeft w:val="0"/>
              <w:marRight w:val="0"/>
              <w:marTop w:val="0"/>
              <w:marBottom w:val="0"/>
              <w:divBdr>
                <w:top w:val="none" w:sz="0" w:space="0" w:color="auto"/>
                <w:left w:val="none" w:sz="0" w:space="0" w:color="auto"/>
                <w:bottom w:val="none" w:sz="0" w:space="0" w:color="auto"/>
                <w:right w:val="none" w:sz="0" w:space="0" w:color="auto"/>
              </w:divBdr>
            </w:div>
            <w:div w:id="607085730">
              <w:marLeft w:val="0"/>
              <w:marRight w:val="0"/>
              <w:marTop w:val="0"/>
              <w:marBottom w:val="0"/>
              <w:divBdr>
                <w:top w:val="none" w:sz="0" w:space="0" w:color="auto"/>
                <w:left w:val="none" w:sz="0" w:space="0" w:color="auto"/>
                <w:bottom w:val="none" w:sz="0" w:space="0" w:color="auto"/>
                <w:right w:val="none" w:sz="0" w:space="0" w:color="auto"/>
              </w:divBdr>
            </w:div>
            <w:div w:id="607085764">
              <w:marLeft w:val="0"/>
              <w:marRight w:val="0"/>
              <w:marTop w:val="0"/>
              <w:marBottom w:val="75"/>
              <w:divBdr>
                <w:top w:val="none" w:sz="0" w:space="0" w:color="auto"/>
                <w:left w:val="none" w:sz="0" w:space="0" w:color="auto"/>
                <w:bottom w:val="none" w:sz="0" w:space="0" w:color="auto"/>
                <w:right w:val="none" w:sz="0" w:space="0" w:color="auto"/>
              </w:divBdr>
            </w:div>
            <w:div w:id="607085771">
              <w:marLeft w:val="0"/>
              <w:marRight w:val="0"/>
              <w:marTop w:val="0"/>
              <w:marBottom w:val="0"/>
              <w:divBdr>
                <w:top w:val="none" w:sz="0" w:space="0" w:color="auto"/>
                <w:left w:val="none" w:sz="0" w:space="0" w:color="auto"/>
                <w:bottom w:val="none" w:sz="0" w:space="0" w:color="auto"/>
                <w:right w:val="none" w:sz="0" w:space="0" w:color="auto"/>
              </w:divBdr>
            </w:div>
            <w:div w:id="607085799">
              <w:marLeft w:val="0"/>
              <w:marRight w:val="0"/>
              <w:marTop w:val="0"/>
              <w:marBottom w:val="0"/>
              <w:divBdr>
                <w:top w:val="none" w:sz="0" w:space="0" w:color="auto"/>
                <w:left w:val="none" w:sz="0" w:space="0" w:color="auto"/>
                <w:bottom w:val="none" w:sz="0" w:space="0" w:color="auto"/>
                <w:right w:val="none" w:sz="0" w:space="0" w:color="auto"/>
              </w:divBdr>
            </w:div>
          </w:divsChild>
        </w:div>
        <w:div w:id="607085803">
          <w:marLeft w:val="0"/>
          <w:marRight w:val="0"/>
          <w:marTop w:val="0"/>
          <w:marBottom w:val="0"/>
          <w:divBdr>
            <w:top w:val="none" w:sz="0" w:space="0" w:color="auto"/>
            <w:left w:val="none" w:sz="0" w:space="0" w:color="auto"/>
            <w:bottom w:val="none" w:sz="0" w:space="0" w:color="auto"/>
            <w:right w:val="none" w:sz="0" w:space="0" w:color="auto"/>
          </w:divBdr>
          <w:divsChild>
            <w:div w:id="607085760">
              <w:marLeft w:val="0"/>
              <w:marRight w:val="0"/>
              <w:marTop w:val="0"/>
              <w:marBottom w:val="0"/>
              <w:divBdr>
                <w:top w:val="none" w:sz="0" w:space="0" w:color="auto"/>
                <w:left w:val="none" w:sz="0" w:space="0" w:color="auto"/>
                <w:bottom w:val="none" w:sz="0" w:space="0" w:color="auto"/>
                <w:right w:val="none" w:sz="0" w:space="0" w:color="auto"/>
              </w:divBdr>
              <w:divsChild>
                <w:div w:id="607085791">
                  <w:marLeft w:val="0"/>
                  <w:marRight w:val="0"/>
                  <w:marTop w:val="0"/>
                  <w:marBottom w:val="0"/>
                  <w:divBdr>
                    <w:top w:val="none" w:sz="0" w:space="0" w:color="auto"/>
                    <w:left w:val="none" w:sz="0" w:space="0" w:color="auto"/>
                    <w:bottom w:val="none" w:sz="0" w:space="0" w:color="auto"/>
                    <w:right w:val="none" w:sz="0" w:space="0" w:color="auto"/>
                  </w:divBdr>
                  <w:divsChild>
                    <w:div w:id="607085677">
                      <w:marLeft w:val="0"/>
                      <w:marRight w:val="0"/>
                      <w:marTop w:val="0"/>
                      <w:marBottom w:val="0"/>
                      <w:divBdr>
                        <w:top w:val="none" w:sz="0" w:space="8" w:color="auto"/>
                        <w:left w:val="single" w:sz="36" w:space="8" w:color="FFE1E1"/>
                        <w:bottom w:val="none" w:sz="0" w:space="8" w:color="auto"/>
                        <w:right w:val="none" w:sz="0" w:space="0" w:color="auto"/>
                      </w:divBdr>
                      <w:divsChild>
                        <w:div w:id="607085692">
                          <w:marLeft w:val="0"/>
                          <w:marRight w:val="0"/>
                          <w:marTop w:val="0"/>
                          <w:marBottom w:val="0"/>
                          <w:divBdr>
                            <w:top w:val="none" w:sz="0" w:space="0" w:color="auto"/>
                            <w:left w:val="none" w:sz="0" w:space="0" w:color="auto"/>
                            <w:bottom w:val="none" w:sz="0" w:space="0" w:color="auto"/>
                            <w:right w:val="none" w:sz="0" w:space="0" w:color="auto"/>
                          </w:divBdr>
                        </w:div>
                        <w:div w:id="607085732">
                          <w:marLeft w:val="0"/>
                          <w:marRight w:val="0"/>
                          <w:marTop w:val="0"/>
                          <w:marBottom w:val="0"/>
                          <w:divBdr>
                            <w:top w:val="none" w:sz="0" w:space="0" w:color="auto"/>
                            <w:left w:val="none" w:sz="0" w:space="0" w:color="auto"/>
                            <w:bottom w:val="none" w:sz="0" w:space="0" w:color="auto"/>
                            <w:right w:val="none" w:sz="0" w:space="0" w:color="auto"/>
                          </w:divBdr>
                        </w:div>
                        <w:div w:id="607085740">
                          <w:marLeft w:val="0"/>
                          <w:marRight w:val="0"/>
                          <w:marTop w:val="0"/>
                          <w:marBottom w:val="0"/>
                          <w:divBdr>
                            <w:top w:val="none" w:sz="0" w:space="0" w:color="auto"/>
                            <w:left w:val="none" w:sz="0" w:space="0" w:color="auto"/>
                            <w:bottom w:val="none" w:sz="0" w:space="0" w:color="auto"/>
                            <w:right w:val="none" w:sz="0" w:space="0" w:color="auto"/>
                          </w:divBdr>
                        </w:div>
                        <w:div w:id="607085758">
                          <w:marLeft w:val="0"/>
                          <w:marRight w:val="0"/>
                          <w:marTop w:val="0"/>
                          <w:marBottom w:val="0"/>
                          <w:divBdr>
                            <w:top w:val="none" w:sz="0" w:space="0" w:color="auto"/>
                            <w:left w:val="none" w:sz="0" w:space="0" w:color="auto"/>
                            <w:bottom w:val="none" w:sz="0" w:space="0" w:color="auto"/>
                            <w:right w:val="none" w:sz="0" w:space="0" w:color="auto"/>
                          </w:divBdr>
                        </w:div>
                        <w:div w:id="607085797">
                          <w:marLeft w:val="0"/>
                          <w:marRight w:val="0"/>
                          <w:marTop w:val="0"/>
                          <w:marBottom w:val="0"/>
                          <w:divBdr>
                            <w:top w:val="none" w:sz="0" w:space="0" w:color="auto"/>
                            <w:left w:val="none" w:sz="0" w:space="0" w:color="auto"/>
                            <w:bottom w:val="none" w:sz="0" w:space="0" w:color="auto"/>
                            <w:right w:val="none" w:sz="0" w:space="0" w:color="auto"/>
                          </w:divBdr>
                        </w:div>
                      </w:divsChild>
                    </w:div>
                    <w:div w:id="607085720">
                      <w:marLeft w:val="0"/>
                      <w:marRight w:val="0"/>
                      <w:marTop w:val="0"/>
                      <w:marBottom w:val="0"/>
                      <w:divBdr>
                        <w:top w:val="none" w:sz="0" w:space="8" w:color="auto"/>
                        <w:left w:val="single" w:sz="36" w:space="8" w:color="9CF4DC"/>
                        <w:bottom w:val="none" w:sz="0" w:space="8" w:color="auto"/>
                        <w:right w:val="none" w:sz="0" w:space="0" w:color="auto"/>
                      </w:divBdr>
                      <w:divsChild>
                        <w:div w:id="607085679">
                          <w:marLeft w:val="0"/>
                          <w:marRight w:val="0"/>
                          <w:marTop w:val="0"/>
                          <w:marBottom w:val="0"/>
                          <w:divBdr>
                            <w:top w:val="none" w:sz="0" w:space="0" w:color="auto"/>
                            <w:left w:val="none" w:sz="0" w:space="0" w:color="auto"/>
                            <w:bottom w:val="none" w:sz="0" w:space="0" w:color="auto"/>
                            <w:right w:val="none" w:sz="0" w:space="0" w:color="auto"/>
                          </w:divBdr>
                        </w:div>
                        <w:div w:id="607085698">
                          <w:marLeft w:val="0"/>
                          <w:marRight w:val="0"/>
                          <w:marTop w:val="0"/>
                          <w:marBottom w:val="0"/>
                          <w:divBdr>
                            <w:top w:val="none" w:sz="0" w:space="0" w:color="auto"/>
                            <w:left w:val="none" w:sz="0" w:space="0" w:color="auto"/>
                            <w:bottom w:val="none" w:sz="0" w:space="0" w:color="auto"/>
                            <w:right w:val="none" w:sz="0" w:space="0" w:color="auto"/>
                          </w:divBdr>
                        </w:div>
                        <w:div w:id="607085701">
                          <w:marLeft w:val="0"/>
                          <w:marRight w:val="0"/>
                          <w:marTop w:val="0"/>
                          <w:marBottom w:val="0"/>
                          <w:divBdr>
                            <w:top w:val="none" w:sz="0" w:space="0" w:color="auto"/>
                            <w:left w:val="none" w:sz="0" w:space="0" w:color="auto"/>
                            <w:bottom w:val="none" w:sz="0" w:space="0" w:color="auto"/>
                            <w:right w:val="none" w:sz="0" w:space="0" w:color="auto"/>
                          </w:divBdr>
                        </w:div>
                        <w:div w:id="607085709">
                          <w:marLeft w:val="0"/>
                          <w:marRight w:val="0"/>
                          <w:marTop w:val="0"/>
                          <w:marBottom w:val="0"/>
                          <w:divBdr>
                            <w:top w:val="none" w:sz="0" w:space="0" w:color="auto"/>
                            <w:left w:val="none" w:sz="0" w:space="0" w:color="auto"/>
                            <w:bottom w:val="none" w:sz="0" w:space="0" w:color="auto"/>
                            <w:right w:val="none" w:sz="0" w:space="0" w:color="auto"/>
                          </w:divBdr>
                        </w:div>
                        <w:div w:id="607085783">
                          <w:marLeft w:val="0"/>
                          <w:marRight w:val="0"/>
                          <w:marTop w:val="0"/>
                          <w:marBottom w:val="0"/>
                          <w:divBdr>
                            <w:top w:val="none" w:sz="0" w:space="0" w:color="auto"/>
                            <w:left w:val="none" w:sz="0" w:space="0" w:color="auto"/>
                            <w:bottom w:val="none" w:sz="0" w:space="0" w:color="auto"/>
                            <w:right w:val="none" w:sz="0" w:space="0" w:color="auto"/>
                          </w:divBdr>
                        </w:div>
                      </w:divsChild>
                    </w:div>
                    <w:div w:id="607085724">
                      <w:marLeft w:val="0"/>
                      <w:marRight w:val="0"/>
                      <w:marTop w:val="0"/>
                      <w:marBottom w:val="0"/>
                      <w:divBdr>
                        <w:top w:val="none" w:sz="0" w:space="8" w:color="auto"/>
                        <w:left w:val="single" w:sz="36" w:space="8" w:color="9CF4DC"/>
                        <w:bottom w:val="none" w:sz="0" w:space="8" w:color="auto"/>
                        <w:right w:val="none" w:sz="0" w:space="0" w:color="auto"/>
                      </w:divBdr>
                      <w:divsChild>
                        <w:div w:id="607085693">
                          <w:marLeft w:val="0"/>
                          <w:marRight w:val="0"/>
                          <w:marTop w:val="0"/>
                          <w:marBottom w:val="0"/>
                          <w:divBdr>
                            <w:top w:val="none" w:sz="0" w:space="0" w:color="auto"/>
                            <w:left w:val="none" w:sz="0" w:space="0" w:color="auto"/>
                            <w:bottom w:val="none" w:sz="0" w:space="0" w:color="auto"/>
                            <w:right w:val="none" w:sz="0" w:space="0" w:color="auto"/>
                          </w:divBdr>
                        </w:div>
                        <w:div w:id="607085702">
                          <w:marLeft w:val="0"/>
                          <w:marRight w:val="0"/>
                          <w:marTop w:val="0"/>
                          <w:marBottom w:val="0"/>
                          <w:divBdr>
                            <w:top w:val="none" w:sz="0" w:space="0" w:color="auto"/>
                            <w:left w:val="none" w:sz="0" w:space="0" w:color="auto"/>
                            <w:bottom w:val="none" w:sz="0" w:space="0" w:color="auto"/>
                            <w:right w:val="none" w:sz="0" w:space="0" w:color="auto"/>
                          </w:divBdr>
                        </w:div>
                        <w:div w:id="607085757">
                          <w:marLeft w:val="0"/>
                          <w:marRight w:val="0"/>
                          <w:marTop w:val="0"/>
                          <w:marBottom w:val="0"/>
                          <w:divBdr>
                            <w:top w:val="none" w:sz="0" w:space="0" w:color="auto"/>
                            <w:left w:val="none" w:sz="0" w:space="0" w:color="auto"/>
                            <w:bottom w:val="none" w:sz="0" w:space="0" w:color="auto"/>
                            <w:right w:val="none" w:sz="0" w:space="0" w:color="auto"/>
                          </w:divBdr>
                        </w:div>
                        <w:div w:id="607085779">
                          <w:marLeft w:val="0"/>
                          <w:marRight w:val="0"/>
                          <w:marTop w:val="0"/>
                          <w:marBottom w:val="0"/>
                          <w:divBdr>
                            <w:top w:val="none" w:sz="0" w:space="0" w:color="auto"/>
                            <w:left w:val="none" w:sz="0" w:space="0" w:color="auto"/>
                            <w:bottom w:val="none" w:sz="0" w:space="0" w:color="auto"/>
                            <w:right w:val="none" w:sz="0" w:space="0" w:color="auto"/>
                          </w:divBdr>
                        </w:div>
                        <w:div w:id="607085795">
                          <w:marLeft w:val="0"/>
                          <w:marRight w:val="0"/>
                          <w:marTop w:val="0"/>
                          <w:marBottom w:val="0"/>
                          <w:divBdr>
                            <w:top w:val="none" w:sz="0" w:space="0" w:color="auto"/>
                            <w:left w:val="none" w:sz="0" w:space="0" w:color="auto"/>
                            <w:bottom w:val="none" w:sz="0" w:space="0" w:color="auto"/>
                            <w:right w:val="none" w:sz="0" w:space="0" w:color="auto"/>
                          </w:divBdr>
                        </w:div>
                      </w:divsChild>
                    </w:div>
                    <w:div w:id="607085737">
                      <w:marLeft w:val="0"/>
                      <w:marRight w:val="0"/>
                      <w:marTop w:val="0"/>
                      <w:marBottom w:val="0"/>
                      <w:divBdr>
                        <w:top w:val="none" w:sz="0" w:space="8" w:color="auto"/>
                        <w:left w:val="single" w:sz="36" w:space="8" w:color="FFE1E1"/>
                        <w:bottom w:val="none" w:sz="0" w:space="8" w:color="auto"/>
                        <w:right w:val="none" w:sz="0" w:space="0" w:color="auto"/>
                      </w:divBdr>
                      <w:divsChild>
                        <w:div w:id="607085695">
                          <w:marLeft w:val="0"/>
                          <w:marRight w:val="0"/>
                          <w:marTop w:val="0"/>
                          <w:marBottom w:val="0"/>
                          <w:divBdr>
                            <w:top w:val="none" w:sz="0" w:space="0" w:color="auto"/>
                            <w:left w:val="none" w:sz="0" w:space="0" w:color="auto"/>
                            <w:bottom w:val="none" w:sz="0" w:space="0" w:color="auto"/>
                            <w:right w:val="none" w:sz="0" w:space="0" w:color="auto"/>
                          </w:divBdr>
                        </w:div>
                        <w:div w:id="607085717">
                          <w:marLeft w:val="0"/>
                          <w:marRight w:val="0"/>
                          <w:marTop w:val="0"/>
                          <w:marBottom w:val="0"/>
                          <w:divBdr>
                            <w:top w:val="none" w:sz="0" w:space="0" w:color="auto"/>
                            <w:left w:val="none" w:sz="0" w:space="0" w:color="auto"/>
                            <w:bottom w:val="none" w:sz="0" w:space="0" w:color="auto"/>
                            <w:right w:val="none" w:sz="0" w:space="0" w:color="auto"/>
                          </w:divBdr>
                        </w:div>
                        <w:div w:id="607085726">
                          <w:marLeft w:val="0"/>
                          <w:marRight w:val="0"/>
                          <w:marTop w:val="0"/>
                          <w:marBottom w:val="0"/>
                          <w:divBdr>
                            <w:top w:val="none" w:sz="0" w:space="0" w:color="auto"/>
                            <w:left w:val="none" w:sz="0" w:space="0" w:color="auto"/>
                            <w:bottom w:val="none" w:sz="0" w:space="0" w:color="auto"/>
                            <w:right w:val="none" w:sz="0" w:space="0" w:color="auto"/>
                          </w:divBdr>
                        </w:div>
                        <w:div w:id="607085731">
                          <w:marLeft w:val="0"/>
                          <w:marRight w:val="0"/>
                          <w:marTop w:val="0"/>
                          <w:marBottom w:val="0"/>
                          <w:divBdr>
                            <w:top w:val="none" w:sz="0" w:space="0" w:color="auto"/>
                            <w:left w:val="none" w:sz="0" w:space="0" w:color="auto"/>
                            <w:bottom w:val="none" w:sz="0" w:space="0" w:color="auto"/>
                            <w:right w:val="none" w:sz="0" w:space="0" w:color="auto"/>
                          </w:divBdr>
                        </w:div>
                        <w:div w:id="6070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085786">
      <w:marLeft w:val="0"/>
      <w:marRight w:val="0"/>
      <w:marTop w:val="0"/>
      <w:marBottom w:val="0"/>
      <w:divBdr>
        <w:top w:val="none" w:sz="0" w:space="0" w:color="auto"/>
        <w:left w:val="none" w:sz="0" w:space="0" w:color="auto"/>
        <w:bottom w:val="none" w:sz="0" w:space="0" w:color="auto"/>
        <w:right w:val="none" w:sz="0" w:space="0" w:color="auto"/>
      </w:divBdr>
    </w:div>
    <w:div w:id="607085787">
      <w:marLeft w:val="0"/>
      <w:marRight w:val="0"/>
      <w:marTop w:val="0"/>
      <w:marBottom w:val="0"/>
      <w:divBdr>
        <w:top w:val="none" w:sz="0" w:space="0" w:color="auto"/>
        <w:left w:val="none" w:sz="0" w:space="0" w:color="auto"/>
        <w:bottom w:val="none" w:sz="0" w:space="0" w:color="auto"/>
        <w:right w:val="none" w:sz="0" w:space="0" w:color="auto"/>
      </w:divBdr>
    </w:div>
    <w:div w:id="607085788">
      <w:marLeft w:val="0"/>
      <w:marRight w:val="0"/>
      <w:marTop w:val="0"/>
      <w:marBottom w:val="0"/>
      <w:divBdr>
        <w:top w:val="none" w:sz="0" w:space="0" w:color="auto"/>
        <w:left w:val="none" w:sz="0" w:space="0" w:color="auto"/>
        <w:bottom w:val="none" w:sz="0" w:space="0" w:color="auto"/>
        <w:right w:val="none" w:sz="0" w:space="0" w:color="auto"/>
      </w:divBdr>
    </w:div>
    <w:div w:id="607085789">
      <w:marLeft w:val="0"/>
      <w:marRight w:val="0"/>
      <w:marTop w:val="0"/>
      <w:marBottom w:val="0"/>
      <w:divBdr>
        <w:top w:val="none" w:sz="0" w:space="0" w:color="auto"/>
        <w:left w:val="none" w:sz="0" w:space="0" w:color="auto"/>
        <w:bottom w:val="none" w:sz="0" w:space="0" w:color="auto"/>
        <w:right w:val="none" w:sz="0" w:space="0" w:color="auto"/>
      </w:divBdr>
    </w:div>
    <w:div w:id="607085792">
      <w:marLeft w:val="0"/>
      <w:marRight w:val="0"/>
      <w:marTop w:val="0"/>
      <w:marBottom w:val="0"/>
      <w:divBdr>
        <w:top w:val="none" w:sz="0" w:space="0" w:color="auto"/>
        <w:left w:val="none" w:sz="0" w:space="0" w:color="auto"/>
        <w:bottom w:val="none" w:sz="0" w:space="0" w:color="auto"/>
        <w:right w:val="none" w:sz="0" w:space="0" w:color="auto"/>
      </w:divBdr>
    </w:div>
    <w:div w:id="607085800">
      <w:marLeft w:val="0"/>
      <w:marRight w:val="0"/>
      <w:marTop w:val="0"/>
      <w:marBottom w:val="0"/>
      <w:divBdr>
        <w:top w:val="none" w:sz="0" w:space="0" w:color="auto"/>
        <w:left w:val="none" w:sz="0" w:space="0" w:color="auto"/>
        <w:bottom w:val="none" w:sz="0" w:space="0" w:color="auto"/>
        <w:right w:val="none" w:sz="0" w:space="0" w:color="auto"/>
      </w:divBdr>
    </w:div>
    <w:div w:id="607085802">
      <w:marLeft w:val="0"/>
      <w:marRight w:val="0"/>
      <w:marTop w:val="0"/>
      <w:marBottom w:val="0"/>
      <w:divBdr>
        <w:top w:val="none" w:sz="0" w:space="0" w:color="auto"/>
        <w:left w:val="none" w:sz="0" w:space="0" w:color="auto"/>
        <w:bottom w:val="none" w:sz="0" w:space="0" w:color="auto"/>
        <w:right w:val="none" w:sz="0" w:space="0" w:color="auto"/>
      </w:divBdr>
    </w:div>
    <w:div w:id="607085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ACF2-A212-4D39-9A1F-DED44715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Raymond James Financial</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Fanous-Samaan</dc:creator>
  <cp:keywords/>
  <dc:description/>
  <cp:lastModifiedBy>Charles Fagan</cp:lastModifiedBy>
  <cp:revision>3</cp:revision>
  <dcterms:created xsi:type="dcterms:W3CDTF">2019-10-01T19:58:00Z</dcterms:created>
  <dcterms:modified xsi:type="dcterms:W3CDTF">2019-10-01T20:00:00Z</dcterms:modified>
</cp:coreProperties>
</file>